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40" w:rsidRPr="009E3C49" w:rsidRDefault="00CA3C39">
      <w:pPr>
        <w:rPr>
          <w:rFonts w:ascii="Times New Roman" w:hAnsi="Times New Roman" w:cs="Times New Roman"/>
          <w:b/>
          <w:sz w:val="24"/>
          <w:szCs w:val="24"/>
        </w:rPr>
      </w:pPr>
      <w:r w:rsidRPr="009E3C49">
        <w:rPr>
          <w:rFonts w:ascii="Times New Roman" w:hAnsi="Times New Roman" w:cs="Times New Roman"/>
          <w:b/>
          <w:sz w:val="24"/>
          <w:szCs w:val="24"/>
        </w:rPr>
        <w:t xml:space="preserve">Shi, Q., </w:t>
      </w:r>
      <w:proofErr w:type="spellStart"/>
      <w:r w:rsidRPr="009E3C49">
        <w:rPr>
          <w:rFonts w:ascii="Times New Roman" w:hAnsi="Times New Roman" w:cs="Times New Roman"/>
          <w:b/>
          <w:sz w:val="24"/>
          <w:szCs w:val="24"/>
        </w:rPr>
        <w:t>MacDermid</w:t>
      </w:r>
      <w:proofErr w:type="spellEnd"/>
      <w:r w:rsidRPr="009E3C49">
        <w:rPr>
          <w:rFonts w:ascii="Times New Roman" w:hAnsi="Times New Roman" w:cs="Times New Roman"/>
          <w:b/>
          <w:sz w:val="24"/>
          <w:szCs w:val="24"/>
        </w:rPr>
        <w:t xml:space="preserve">, J. C. Is surgical intervention more effective than non-surgical treatment for carpal tunnel syndrome? A systematic review. J </w:t>
      </w:r>
      <w:proofErr w:type="spellStart"/>
      <w:r w:rsidRPr="009E3C49">
        <w:rPr>
          <w:rFonts w:ascii="Times New Roman" w:hAnsi="Times New Roman" w:cs="Times New Roman"/>
          <w:b/>
          <w:sz w:val="24"/>
          <w:szCs w:val="24"/>
        </w:rPr>
        <w:t>Orthop</w:t>
      </w:r>
      <w:proofErr w:type="spellEnd"/>
      <w:r w:rsidRPr="009E3C49">
        <w:rPr>
          <w:rFonts w:ascii="Times New Roman" w:hAnsi="Times New Roman" w:cs="Times New Roman"/>
          <w:b/>
          <w:sz w:val="24"/>
          <w:szCs w:val="24"/>
        </w:rPr>
        <w:t xml:space="preserve"> </w:t>
      </w:r>
      <w:proofErr w:type="spellStart"/>
      <w:r w:rsidRPr="009E3C49">
        <w:rPr>
          <w:rFonts w:ascii="Times New Roman" w:hAnsi="Times New Roman" w:cs="Times New Roman"/>
          <w:b/>
          <w:sz w:val="24"/>
          <w:szCs w:val="24"/>
        </w:rPr>
        <w:t>Surg</w:t>
      </w:r>
      <w:proofErr w:type="spellEnd"/>
      <w:r w:rsidRPr="009E3C49">
        <w:rPr>
          <w:rFonts w:ascii="Times New Roman" w:hAnsi="Times New Roman" w:cs="Times New Roman"/>
          <w:b/>
          <w:sz w:val="24"/>
          <w:szCs w:val="24"/>
        </w:rPr>
        <w:t xml:space="preserve"> Res. 2011;6;17.</w:t>
      </w:r>
    </w:p>
    <w:p w:rsidR="00CA3C39" w:rsidRPr="009E3C49" w:rsidRDefault="00CA3C39">
      <w:pPr>
        <w:rPr>
          <w:rFonts w:ascii="Times New Roman" w:hAnsi="Times New Roman" w:cs="Times New Roman"/>
          <w:sz w:val="24"/>
          <w:szCs w:val="24"/>
        </w:rPr>
      </w:pPr>
      <w:r w:rsidRPr="009E3C49">
        <w:rPr>
          <w:rFonts w:ascii="Times New Roman" w:hAnsi="Times New Roman" w:cs="Times New Roman"/>
          <w:sz w:val="24"/>
          <w:szCs w:val="24"/>
        </w:rPr>
        <w:t>PMID: 21477381</w:t>
      </w:r>
    </w:p>
    <w:p w:rsidR="00CA3C39" w:rsidRPr="009E3C49" w:rsidRDefault="00CA3C39">
      <w:pPr>
        <w:rPr>
          <w:rFonts w:ascii="Times New Roman" w:hAnsi="Times New Roman" w:cs="Times New Roman"/>
          <w:sz w:val="24"/>
          <w:szCs w:val="24"/>
        </w:rPr>
      </w:pPr>
      <w:r w:rsidRPr="009E3C49">
        <w:rPr>
          <w:rFonts w:ascii="Times New Roman" w:hAnsi="Times New Roman" w:cs="Times New Roman"/>
          <w:sz w:val="24"/>
          <w:szCs w:val="24"/>
        </w:rPr>
        <w:t>Design: meta-analysis of randomized clinical trials</w:t>
      </w:r>
    </w:p>
    <w:p w:rsidR="00CA3C39" w:rsidRPr="009E3C49" w:rsidRDefault="00CA3C39">
      <w:pPr>
        <w:rPr>
          <w:rFonts w:ascii="Times New Roman" w:hAnsi="Times New Roman" w:cs="Times New Roman"/>
          <w:sz w:val="24"/>
          <w:szCs w:val="24"/>
        </w:rPr>
      </w:pPr>
      <w:r w:rsidRPr="009E3C49">
        <w:rPr>
          <w:rFonts w:ascii="Times New Roman" w:hAnsi="Times New Roman" w:cs="Times New Roman"/>
          <w:sz w:val="24"/>
          <w:szCs w:val="24"/>
        </w:rPr>
        <w:t>Purpose of study: to compare the outcomes of surgical and non-surgical treatment of CTS</w:t>
      </w:r>
    </w:p>
    <w:p w:rsidR="00CA3C39" w:rsidRPr="009E3C49" w:rsidRDefault="00CA3C39">
      <w:pPr>
        <w:rPr>
          <w:rFonts w:ascii="Times New Roman" w:hAnsi="Times New Roman" w:cs="Times New Roman"/>
          <w:sz w:val="24"/>
          <w:szCs w:val="24"/>
        </w:rPr>
      </w:pPr>
      <w:r w:rsidRPr="009E3C49">
        <w:rPr>
          <w:rFonts w:ascii="Times New Roman" w:hAnsi="Times New Roman" w:cs="Times New Roman"/>
          <w:sz w:val="24"/>
          <w:szCs w:val="24"/>
        </w:rPr>
        <w:t>PICOS:</w:t>
      </w:r>
    </w:p>
    <w:p w:rsidR="00CA3C39" w:rsidRPr="009E3C49" w:rsidRDefault="00CA3C39" w:rsidP="00CA3C39">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Patient population: patients with a diagnosis of CTS, regardless of diagnostic criteria used, age, etiology, associated pathology, and gender</w:t>
      </w:r>
    </w:p>
    <w:p w:rsidR="00CA3C39" w:rsidRPr="009E3C49" w:rsidRDefault="00CA3C39" w:rsidP="00CA3C39">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Interventions: surgery for CTS of whatever type</w:t>
      </w:r>
    </w:p>
    <w:p w:rsidR="00CA3C39" w:rsidRPr="009E3C49" w:rsidRDefault="00CA3C39" w:rsidP="00CA3C39">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Standard open carpal tunnel release (OCTR)</w:t>
      </w:r>
    </w:p>
    <w:p w:rsidR="00CA3C39" w:rsidRPr="009E3C49" w:rsidRDefault="00CA3C39" w:rsidP="00CA3C39">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Endoscopic carpal tunnel release (ECTR)</w:t>
      </w:r>
    </w:p>
    <w:p w:rsidR="00CA3C39" w:rsidRPr="009E3C49" w:rsidRDefault="00CA3C39" w:rsidP="00CA3C39">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Open carpal tunnel release with additional procedures such as internal neurolysis, epineurotomy, or tenosynovectomy</w:t>
      </w:r>
    </w:p>
    <w:p w:rsidR="00CA3C39" w:rsidRPr="009E3C49" w:rsidRDefault="00CA3C39" w:rsidP="00CA3C39">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OCTR using various incision techniques</w:t>
      </w:r>
    </w:p>
    <w:p w:rsidR="00CA3C39" w:rsidRPr="009E3C49" w:rsidRDefault="00CA3C39" w:rsidP="00CA3C39">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 xml:space="preserve">Comparisons: </w:t>
      </w:r>
      <w:r w:rsidR="00C01BFF" w:rsidRPr="009E3C49">
        <w:rPr>
          <w:rFonts w:ascii="Times New Roman" w:hAnsi="Times New Roman" w:cs="Times New Roman"/>
          <w:sz w:val="24"/>
          <w:szCs w:val="24"/>
        </w:rPr>
        <w:t>a variety of nonoperative interventions</w:t>
      </w:r>
    </w:p>
    <w:p w:rsidR="00C01BFF" w:rsidRPr="009E3C49" w:rsidRDefault="00C01BFF" w:rsidP="00C01BFF">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Drugs such as oral or local steroids, NSAIDs, diuretics, and pyridoxine</w:t>
      </w:r>
    </w:p>
    <w:p w:rsidR="00C01BFF" w:rsidRPr="009E3C49" w:rsidRDefault="00C01BFF" w:rsidP="00C01BFF">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Wrist splints</w:t>
      </w:r>
    </w:p>
    <w:p w:rsidR="00C01BFF" w:rsidRPr="009E3C49" w:rsidRDefault="00C01BFF" w:rsidP="00C01BFF">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Physical therapy, therapeutic exercise, manipulation, ultrasound, laser, yoga, acupuncture</w:t>
      </w:r>
    </w:p>
    <w:p w:rsidR="0009718A" w:rsidRPr="009E3C49" w:rsidRDefault="00C01BFF" w:rsidP="0009718A">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 xml:space="preserve">Outcomes: </w:t>
      </w:r>
      <w:r w:rsidR="0009718A" w:rsidRPr="009E3C49">
        <w:rPr>
          <w:rFonts w:ascii="Times New Roman" w:hAnsi="Times New Roman" w:cs="Times New Roman"/>
          <w:sz w:val="24"/>
          <w:szCs w:val="24"/>
        </w:rPr>
        <w:t>primary outcome was patient-reported functional and symptom improvement at six months of followup</w:t>
      </w:r>
    </w:p>
    <w:p w:rsidR="0009718A" w:rsidRPr="009E3C49" w:rsidRDefault="0009718A" w:rsidP="0009718A">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 xml:space="preserve">Secondary outcomes were patient-reported functional and symptom improvement at 3 months of followup, </w:t>
      </w:r>
      <w:r w:rsidR="00C057E8" w:rsidRPr="009E3C49">
        <w:rPr>
          <w:rFonts w:ascii="Times New Roman" w:hAnsi="Times New Roman" w:cs="Times New Roman"/>
          <w:sz w:val="24"/>
          <w:szCs w:val="24"/>
        </w:rPr>
        <w:t>patient-reported functional and symptom improvement at 12 months of followup, improvement in neurophysiological parameters, and adverse events/complications/side effects of treatment</w:t>
      </w:r>
    </w:p>
    <w:p w:rsidR="00DA78F2" w:rsidRPr="009E3C49" w:rsidRDefault="00DA78F2" w:rsidP="00DA78F2">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Study types: studies in English which were designated as prospective controlled trials</w:t>
      </w:r>
    </w:p>
    <w:p w:rsidR="00DA78F2" w:rsidRPr="009E3C49" w:rsidRDefault="00DA78F2" w:rsidP="00DA78F2">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Studies were excluded if they were published before 1970, did not provide data on effectiveness of treatment, or compared the effectiveness of two surgical treatments or of two non-surgical treatments</w:t>
      </w:r>
    </w:p>
    <w:p w:rsidR="00C057E8" w:rsidRPr="009E3C49" w:rsidRDefault="00CD13C5" w:rsidP="00C057E8">
      <w:pPr>
        <w:rPr>
          <w:rFonts w:ascii="Times New Roman" w:hAnsi="Times New Roman" w:cs="Times New Roman"/>
          <w:sz w:val="24"/>
          <w:szCs w:val="24"/>
        </w:rPr>
      </w:pPr>
      <w:r w:rsidRPr="009E3C49">
        <w:rPr>
          <w:rFonts w:ascii="Times New Roman" w:hAnsi="Times New Roman" w:cs="Times New Roman"/>
          <w:sz w:val="24"/>
          <w:szCs w:val="24"/>
        </w:rPr>
        <w:t>Study selection:</w:t>
      </w:r>
    </w:p>
    <w:p w:rsidR="00DA78F2" w:rsidRPr="009E3C49" w:rsidRDefault="004600B5" w:rsidP="00DA78F2">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Databases were MEDLINE 1980 to June 1010, EMBASE 1980 to June 2010, PEDro searched in 2010, and the Cochrane Central Register 2010</w:t>
      </w:r>
    </w:p>
    <w:p w:rsidR="004600B5" w:rsidRPr="009E3C49" w:rsidRDefault="000D2A89" w:rsidP="00DA78F2">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Study authors independently assessed studies for potential selection</w:t>
      </w:r>
      <w:r w:rsidR="00682F2C" w:rsidRPr="009E3C49">
        <w:rPr>
          <w:rFonts w:ascii="Times New Roman" w:hAnsi="Times New Roman" w:cs="Times New Roman"/>
          <w:sz w:val="24"/>
          <w:szCs w:val="24"/>
        </w:rPr>
        <w:t>, for methodological quality, and data abstraction</w:t>
      </w:r>
      <w:r w:rsidR="00974B47" w:rsidRPr="009E3C49">
        <w:rPr>
          <w:rFonts w:ascii="Times New Roman" w:hAnsi="Times New Roman" w:cs="Times New Roman"/>
          <w:sz w:val="24"/>
          <w:szCs w:val="24"/>
        </w:rPr>
        <w:t xml:space="preserve">, using a Cohen’s unweighted kappa to assess interrater agreement on study selection </w:t>
      </w:r>
    </w:p>
    <w:p w:rsidR="004B7442" w:rsidRPr="009E3C49" w:rsidRDefault="004B7442" w:rsidP="00DA78F2">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lastRenderedPageBreak/>
        <w:t xml:space="preserve">Validity assessment was done with the Jadad scale </w:t>
      </w:r>
      <w:r w:rsidR="00CD3991" w:rsidRPr="009E3C49">
        <w:rPr>
          <w:rFonts w:ascii="Times New Roman" w:hAnsi="Times New Roman" w:cs="Times New Roman"/>
          <w:sz w:val="24"/>
          <w:szCs w:val="24"/>
        </w:rPr>
        <w:t>which has three items: randomization, double blinding, and accounting for withdrawals</w:t>
      </w:r>
    </w:p>
    <w:p w:rsidR="00CD3991" w:rsidRPr="009E3C49" w:rsidRDefault="000D5A52" w:rsidP="00CD3991">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The criterion of randomization is credited with one point if the study is described as randomized, and one additional point is credited if the method to generate the sequence of randomization was described and it was appropriate (table of random numbers, computer generated, etc.)</w:t>
      </w:r>
    </w:p>
    <w:p w:rsidR="00A12071" w:rsidRPr="009E3C49" w:rsidRDefault="00A12071" w:rsidP="00A12071">
      <w:pPr>
        <w:pStyle w:val="ListParagraph"/>
        <w:numPr>
          <w:ilvl w:val="2"/>
          <w:numId w:val="1"/>
        </w:numPr>
        <w:rPr>
          <w:rFonts w:ascii="Times New Roman" w:hAnsi="Times New Roman" w:cs="Times New Roman"/>
          <w:sz w:val="24"/>
          <w:szCs w:val="24"/>
        </w:rPr>
      </w:pPr>
      <w:r w:rsidRPr="009E3C49">
        <w:rPr>
          <w:rFonts w:ascii="Times New Roman" w:hAnsi="Times New Roman" w:cs="Times New Roman"/>
          <w:sz w:val="24"/>
          <w:szCs w:val="24"/>
        </w:rPr>
        <w:t>One point is deducted if the method to generate the sequence of randomization was described and it was inappropriate (patients were allocated alternately, or according to date of birth, hospital number, etc.)</w:t>
      </w:r>
    </w:p>
    <w:p w:rsidR="00A12071" w:rsidRPr="009E3C49" w:rsidRDefault="00236966" w:rsidP="00236966">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The criterion of double blinding is credited if the method of double blinding was described and it was appropriate (identical placebo, active placebo, dummy, etc.)</w:t>
      </w:r>
    </w:p>
    <w:p w:rsidR="00290C16" w:rsidRPr="009E3C49" w:rsidRDefault="00290C16" w:rsidP="00290C16">
      <w:pPr>
        <w:pStyle w:val="ListParagraph"/>
        <w:numPr>
          <w:ilvl w:val="2"/>
          <w:numId w:val="1"/>
        </w:numPr>
        <w:rPr>
          <w:rFonts w:ascii="Times New Roman" w:hAnsi="Times New Roman" w:cs="Times New Roman"/>
          <w:sz w:val="24"/>
          <w:szCs w:val="24"/>
        </w:rPr>
      </w:pPr>
      <w:r w:rsidRPr="009E3C49">
        <w:rPr>
          <w:rFonts w:ascii="Times New Roman" w:hAnsi="Times New Roman" w:cs="Times New Roman"/>
          <w:sz w:val="24"/>
          <w:szCs w:val="24"/>
        </w:rPr>
        <w:t>One point is deducted if the study was described as double blind but the method of blinding was inappropriate (e.g., comparison of tablet versus injection with no double dummy)</w:t>
      </w:r>
    </w:p>
    <w:p w:rsidR="00290C16" w:rsidRPr="009E3C49" w:rsidRDefault="00290C16" w:rsidP="003E0BC9">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 xml:space="preserve">The criterion for dropouts and withdrawals requires </w:t>
      </w:r>
      <w:r w:rsidR="003E0BC9" w:rsidRPr="009E3C49">
        <w:rPr>
          <w:rFonts w:ascii="Times New Roman" w:hAnsi="Times New Roman" w:cs="Times New Roman"/>
          <w:sz w:val="24"/>
          <w:szCs w:val="24"/>
        </w:rPr>
        <w:t>that participants who were included in the study but did not complete the observation period or who were not included in the analysis must be described. The number and the reasons for withdrawal in each group must be stated. If there were no withdrawals, it should be stated in the article. If there is no statement on withdrawals, this item must be given no points.</w:t>
      </w:r>
    </w:p>
    <w:p w:rsidR="0027373E" w:rsidRPr="009E3C49" w:rsidRDefault="0027373E" w:rsidP="003E0BC9">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 xml:space="preserve">Thus, the Jadad scale has a minimum of 0 points and a maximum of 5 points; a score of 3 or greater was designated as high quality </w:t>
      </w:r>
    </w:p>
    <w:p w:rsidR="00745D99" w:rsidRPr="009E3C49" w:rsidRDefault="00745D99" w:rsidP="00745D99">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 xml:space="preserve">In addition, an additional 24-item scale for quality evaluation was used, which includes randomization, blinding, and accounting for missing data, and has additional items for description of the primary outcome, description of interventions and participants, and appropriate </w:t>
      </w:r>
      <w:r w:rsidR="008A53E7" w:rsidRPr="009E3C49">
        <w:rPr>
          <w:rFonts w:ascii="Times New Roman" w:hAnsi="Times New Roman" w:cs="Times New Roman"/>
          <w:sz w:val="24"/>
          <w:szCs w:val="24"/>
        </w:rPr>
        <w:t>analysis of results</w:t>
      </w:r>
    </w:p>
    <w:p w:rsidR="008A53E7" w:rsidRPr="009E3C49" w:rsidRDefault="008A53E7" w:rsidP="008A53E7">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This scale scores 0, 1, or 2  points for each item, making a minimum total score of 0 and a maximum of 48 points</w:t>
      </w:r>
    </w:p>
    <w:p w:rsidR="008A53E7" w:rsidRPr="009E3C49" w:rsidRDefault="008A53E7" w:rsidP="008A53E7">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Low quality meant the score was 0 to 16</w:t>
      </w:r>
    </w:p>
    <w:p w:rsidR="008A53E7" w:rsidRPr="009E3C49" w:rsidRDefault="008A53E7" w:rsidP="008A53E7">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Moderate quality meant the score was 17 to 32</w:t>
      </w:r>
    </w:p>
    <w:p w:rsidR="008A53E7" w:rsidRPr="009E3C49" w:rsidRDefault="008A53E7" w:rsidP="008A53E7">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High quality meant the score was 33 to 48</w:t>
      </w:r>
    </w:p>
    <w:p w:rsidR="0027373E" w:rsidRPr="009E3C49" w:rsidRDefault="0027373E" w:rsidP="0027373E">
      <w:pPr>
        <w:rPr>
          <w:rFonts w:ascii="Times New Roman" w:hAnsi="Times New Roman" w:cs="Times New Roman"/>
          <w:sz w:val="24"/>
          <w:szCs w:val="24"/>
        </w:rPr>
      </w:pPr>
      <w:r w:rsidRPr="009E3C49">
        <w:rPr>
          <w:rFonts w:ascii="Times New Roman" w:hAnsi="Times New Roman" w:cs="Times New Roman"/>
          <w:sz w:val="24"/>
          <w:szCs w:val="24"/>
        </w:rPr>
        <w:t xml:space="preserve">Results: </w:t>
      </w:r>
    </w:p>
    <w:p w:rsidR="002B4B02" w:rsidRPr="009E3C49" w:rsidRDefault="00C805A8" w:rsidP="002B4B02">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The literature search identified 1333 articles, but after the abstracts review, only 10 articles potentially met the inclusion criteria, and 7</w:t>
      </w:r>
      <w:r w:rsidR="002B4B02" w:rsidRPr="009E3C49">
        <w:rPr>
          <w:rFonts w:ascii="Times New Roman" w:hAnsi="Times New Roman" w:cs="Times New Roman"/>
          <w:sz w:val="24"/>
          <w:szCs w:val="24"/>
        </w:rPr>
        <w:t xml:space="preserve"> of these (5 RCTs and 2 comparative cohort studies)</w:t>
      </w:r>
      <w:r w:rsidRPr="009E3C49">
        <w:rPr>
          <w:rFonts w:ascii="Times New Roman" w:hAnsi="Times New Roman" w:cs="Times New Roman"/>
          <w:sz w:val="24"/>
          <w:szCs w:val="24"/>
        </w:rPr>
        <w:t xml:space="preserve"> were included in the </w:t>
      </w:r>
      <w:r w:rsidR="002B4B02" w:rsidRPr="009E3C49">
        <w:rPr>
          <w:rFonts w:ascii="Times New Roman" w:hAnsi="Times New Roman" w:cs="Times New Roman"/>
          <w:sz w:val="24"/>
          <w:szCs w:val="24"/>
        </w:rPr>
        <w:t>primary review</w:t>
      </w:r>
    </w:p>
    <w:p w:rsidR="00E93003" w:rsidRPr="009E3C49" w:rsidRDefault="00B67EB5" w:rsidP="002B4B02">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lastRenderedPageBreak/>
        <w:t xml:space="preserve">A total of 4 </w:t>
      </w:r>
      <w:r w:rsidR="0099512D" w:rsidRPr="009E3C49">
        <w:rPr>
          <w:rFonts w:ascii="Times New Roman" w:hAnsi="Times New Roman" w:cs="Times New Roman"/>
          <w:sz w:val="24"/>
          <w:szCs w:val="24"/>
        </w:rPr>
        <w:t xml:space="preserve">studies were considered </w:t>
      </w:r>
      <w:r w:rsidR="00E93003" w:rsidRPr="009E3C49">
        <w:rPr>
          <w:rFonts w:ascii="Times New Roman" w:hAnsi="Times New Roman" w:cs="Times New Roman"/>
          <w:sz w:val="24"/>
          <w:szCs w:val="24"/>
        </w:rPr>
        <w:t>“</w:t>
      </w:r>
      <w:r w:rsidR="0099512D" w:rsidRPr="009E3C49">
        <w:rPr>
          <w:rFonts w:ascii="Times New Roman" w:hAnsi="Times New Roman" w:cs="Times New Roman"/>
          <w:sz w:val="24"/>
          <w:szCs w:val="24"/>
        </w:rPr>
        <w:t>high quality</w:t>
      </w:r>
      <w:r w:rsidR="00E93003" w:rsidRPr="009E3C49">
        <w:rPr>
          <w:rFonts w:ascii="Times New Roman" w:hAnsi="Times New Roman" w:cs="Times New Roman"/>
          <w:sz w:val="24"/>
          <w:szCs w:val="24"/>
        </w:rPr>
        <w:t>”</w:t>
      </w:r>
      <w:r w:rsidR="0099512D" w:rsidRPr="009E3C49">
        <w:rPr>
          <w:rFonts w:ascii="Times New Roman" w:hAnsi="Times New Roman" w:cs="Times New Roman"/>
          <w:sz w:val="24"/>
          <w:szCs w:val="24"/>
        </w:rPr>
        <w:t xml:space="preserve"> on the Jadad scale</w:t>
      </w:r>
      <w:r w:rsidR="00E93003" w:rsidRPr="009E3C49">
        <w:rPr>
          <w:rFonts w:ascii="Times New Roman" w:hAnsi="Times New Roman" w:cs="Times New Roman"/>
          <w:sz w:val="24"/>
          <w:szCs w:val="24"/>
        </w:rPr>
        <w:t>, but no study had a Jadad score higher than 3 because all studies had 0 points for the double-blinding criterion</w:t>
      </w:r>
    </w:p>
    <w:p w:rsidR="00E93003" w:rsidRPr="009E3C49" w:rsidRDefault="0099512D" w:rsidP="00873CB6">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 xml:space="preserve"> </w:t>
      </w:r>
      <w:r w:rsidR="00E93003" w:rsidRPr="009E3C49">
        <w:rPr>
          <w:rFonts w:ascii="Times New Roman" w:hAnsi="Times New Roman" w:cs="Times New Roman"/>
          <w:sz w:val="24"/>
          <w:szCs w:val="24"/>
        </w:rPr>
        <w:t>5 studies used patient self-administered function and symptom questionnaires, and 4 of these, which used disease-specific scales for hand function, could be pooled in a meta-analysis</w:t>
      </w:r>
    </w:p>
    <w:p w:rsidR="00DD7D0C" w:rsidRPr="009E3C49" w:rsidRDefault="00DD7D0C" w:rsidP="00DD7D0C">
      <w:pPr>
        <w:pStyle w:val="ListParagraph"/>
        <w:numPr>
          <w:ilvl w:val="1"/>
          <w:numId w:val="1"/>
        </w:numPr>
        <w:rPr>
          <w:rFonts w:ascii="Times New Roman" w:hAnsi="Times New Roman" w:cs="Times New Roman"/>
          <w:b/>
          <w:sz w:val="24"/>
          <w:szCs w:val="24"/>
        </w:rPr>
      </w:pPr>
      <w:r w:rsidRPr="009E3C49">
        <w:rPr>
          <w:rFonts w:ascii="Times New Roman" w:hAnsi="Times New Roman" w:cs="Times New Roman"/>
          <w:sz w:val="24"/>
          <w:szCs w:val="24"/>
        </w:rPr>
        <w:t>One of these 4 pooled studies compared surgery with multi-modality treatment, one compared surgery with splinting plus local steroid injection, on  compered surgery with two-dose steroid injection, and one compared surgery with splinting</w:t>
      </w:r>
      <w:r w:rsidR="00332E8C" w:rsidRPr="009E3C49">
        <w:rPr>
          <w:rFonts w:ascii="Times New Roman" w:hAnsi="Times New Roman" w:cs="Times New Roman"/>
          <w:sz w:val="24"/>
          <w:szCs w:val="24"/>
        </w:rPr>
        <w:t xml:space="preserve"> </w:t>
      </w:r>
    </w:p>
    <w:p w:rsidR="00873CB6" w:rsidRPr="009E3C49" w:rsidRDefault="00873CB6" w:rsidP="00873CB6">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The hand-specific scale which was used, the Boston Questionnaire, has 11 items for symptom severity and 8 items for functional difficulties</w:t>
      </w:r>
    </w:p>
    <w:p w:rsidR="00873CB6" w:rsidRPr="009E3C49" w:rsidRDefault="00873CB6" w:rsidP="00873CB6">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Each item in the questionnaire is scored from 1 to 5, with higher scores indicating worse symptomatology or function</w:t>
      </w:r>
    </w:p>
    <w:p w:rsidR="00873CB6" w:rsidRPr="009E3C49" w:rsidRDefault="00873CB6" w:rsidP="00873CB6">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 xml:space="preserve">The </w:t>
      </w:r>
      <w:r w:rsidR="00084BB8" w:rsidRPr="009E3C49">
        <w:rPr>
          <w:rFonts w:ascii="Times New Roman" w:hAnsi="Times New Roman" w:cs="Times New Roman"/>
          <w:sz w:val="24"/>
          <w:szCs w:val="24"/>
        </w:rPr>
        <w:t xml:space="preserve">hand </w:t>
      </w:r>
      <w:r w:rsidRPr="009E3C49">
        <w:rPr>
          <w:rFonts w:ascii="Times New Roman" w:hAnsi="Times New Roman" w:cs="Times New Roman"/>
          <w:sz w:val="24"/>
          <w:szCs w:val="24"/>
        </w:rPr>
        <w:t>score entered into the analysis was the mean of all 11 symptom items and all 8 function items, such that the score was a number between 1 and 5</w:t>
      </w:r>
    </w:p>
    <w:p w:rsidR="00873CB6" w:rsidRPr="009E3C49" w:rsidRDefault="00873CB6" w:rsidP="00873CB6">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 xml:space="preserve"> </w:t>
      </w:r>
      <w:r w:rsidR="00DD7D0C" w:rsidRPr="009E3C49">
        <w:rPr>
          <w:rFonts w:ascii="Times New Roman" w:hAnsi="Times New Roman" w:cs="Times New Roman"/>
          <w:sz w:val="24"/>
          <w:szCs w:val="24"/>
        </w:rPr>
        <w:t>For patient-reported functional improvement at 6 months, surgery</w:t>
      </w:r>
      <w:r w:rsidR="00332E8C" w:rsidRPr="009E3C49">
        <w:rPr>
          <w:rFonts w:ascii="Times New Roman" w:hAnsi="Times New Roman" w:cs="Times New Roman"/>
          <w:sz w:val="24"/>
          <w:szCs w:val="24"/>
        </w:rPr>
        <w:t xml:space="preserve"> was better than non-surgery; the difference was that the functional impairment was a mean of 0.36 points lower than non-surgery (95% confidence interval from 0.22 to 0.47)</w:t>
      </w:r>
    </w:p>
    <w:p w:rsidR="00714180" w:rsidRPr="009E3C49" w:rsidRDefault="00332E8C" w:rsidP="00332E8C">
      <w:pPr>
        <w:pStyle w:val="ListParagraph"/>
        <w:numPr>
          <w:ilvl w:val="2"/>
          <w:numId w:val="1"/>
        </w:numPr>
        <w:rPr>
          <w:rFonts w:ascii="Times New Roman" w:hAnsi="Times New Roman" w:cs="Times New Roman"/>
          <w:sz w:val="24"/>
          <w:szCs w:val="24"/>
        </w:rPr>
      </w:pPr>
      <w:r w:rsidRPr="009E3C49">
        <w:rPr>
          <w:rFonts w:ascii="Times New Roman" w:hAnsi="Times New Roman" w:cs="Times New Roman"/>
          <w:sz w:val="24"/>
          <w:szCs w:val="24"/>
        </w:rPr>
        <w:t>In spite of the diversity of non-operative comparisons, the heterogeneity, as estimated by the I</w:t>
      </w:r>
      <w:r w:rsidR="00714180" w:rsidRPr="009E3C49">
        <w:rPr>
          <w:rFonts w:ascii="Times New Roman" w:hAnsi="Times New Roman" w:cs="Times New Roman"/>
          <w:sz w:val="24"/>
          <w:szCs w:val="24"/>
          <w:vertAlign w:val="superscript"/>
        </w:rPr>
        <w:t>2</w:t>
      </w:r>
      <w:r w:rsidRPr="009E3C49">
        <w:rPr>
          <w:rFonts w:ascii="Times New Roman" w:hAnsi="Times New Roman" w:cs="Times New Roman"/>
          <w:sz w:val="24"/>
          <w:szCs w:val="24"/>
        </w:rPr>
        <w:t xml:space="preserve"> statistic, was 40%, which is not generally considered to be </w:t>
      </w:r>
      <w:r w:rsidR="00714180" w:rsidRPr="009E3C49">
        <w:rPr>
          <w:rFonts w:ascii="Times New Roman" w:hAnsi="Times New Roman" w:cs="Times New Roman"/>
          <w:sz w:val="24"/>
          <w:szCs w:val="24"/>
        </w:rPr>
        <w:t>heterogeneous, justifying the fixed-effect meta-analysis which was used by the authors</w:t>
      </w:r>
    </w:p>
    <w:p w:rsidR="000C38A9" w:rsidRPr="009E3C49" w:rsidRDefault="00714180" w:rsidP="00714180">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 xml:space="preserve">For self-reported symptom improvement at 6 months, surgery was also better than non-surgery; the difference was 0.43 points in favor of </w:t>
      </w:r>
      <w:r w:rsidR="00295212" w:rsidRPr="009E3C49">
        <w:rPr>
          <w:rFonts w:ascii="Times New Roman" w:hAnsi="Times New Roman" w:cs="Times New Roman"/>
          <w:sz w:val="24"/>
          <w:szCs w:val="24"/>
        </w:rPr>
        <w:t>surgery (95% CI 0.29 to 0.57); the I</w:t>
      </w:r>
      <w:r w:rsidR="00295212" w:rsidRPr="009E3C49">
        <w:rPr>
          <w:rFonts w:ascii="Times New Roman" w:hAnsi="Times New Roman" w:cs="Times New Roman"/>
          <w:sz w:val="24"/>
          <w:szCs w:val="24"/>
          <w:vertAlign w:val="superscript"/>
        </w:rPr>
        <w:t>2</w:t>
      </w:r>
      <w:r w:rsidR="00295212" w:rsidRPr="009E3C49">
        <w:rPr>
          <w:rFonts w:ascii="Times New Roman" w:hAnsi="Times New Roman" w:cs="Times New Roman"/>
          <w:sz w:val="24"/>
          <w:szCs w:val="24"/>
        </w:rPr>
        <w:t xml:space="preserve"> statistic was 0%, meaning no heterogeneity</w:t>
      </w:r>
    </w:p>
    <w:p w:rsidR="000C38A9" w:rsidRPr="009E3C49" w:rsidRDefault="000C38A9" w:rsidP="000C38A9">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Five studies evaluated the electrophysiologic improvement at 6 months followup; two high-quality studies measured median motor nerve distal latency and three moderate quality studies assessed the number of normal nerve conduction tests at 6 months</w:t>
      </w:r>
    </w:p>
    <w:p w:rsidR="00332E8C" w:rsidRPr="009E3C49" w:rsidRDefault="000C38A9" w:rsidP="000C38A9">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 xml:space="preserve">Surgery was found to be superior to non-surgery </w:t>
      </w:r>
      <w:r w:rsidR="004E47D6" w:rsidRPr="009E3C49">
        <w:rPr>
          <w:rFonts w:ascii="Times New Roman" w:hAnsi="Times New Roman" w:cs="Times New Roman"/>
          <w:sz w:val="24"/>
          <w:szCs w:val="24"/>
        </w:rPr>
        <w:t>in the 2 studies which measured median motor nerve distal latency (0.5 ms, 95% CI 0.16 to 0.95), with borderline heterogeneity</w:t>
      </w:r>
      <w:r w:rsidR="0040053A" w:rsidRPr="009E3C49">
        <w:rPr>
          <w:rFonts w:ascii="Times New Roman" w:hAnsi="Times New Roman" w:cs="Times New Roman"/>
          <w:sz w:val="24"/>
          <w:szCs w:val="24"/>
        </w:rPr>
        <w:t xml:space="preserve"> with </w:t>
      </w:r>
      <w:r w:rsidR="004E47D6" w:rsidRPr="009E3C49">
        <w:rPr>
          <w:rFonts w:ascii="Times New Roman" w:hAnsi="Times New Roman" w:cs="Times New Roman"/>
          <w:sz w:val="24"/>
          <w:szCs w:val="24"/>
        </w:rPr>
        <w:t xml:space="preserve"> I</w:t>
      </w:r>
      <w:r w:rsidR="004E47D6" w:rsidRPr="009E3C49">
        <w:rPr>
          <w:rFonts w:ascii="Times New Roman" w:hAnsi="Times New Roman" w:cs="Times New Roman"/>
          <w:sz w:val="24"/>
          <w:szCs w:val="24"/>
          <w:vertAlign w:val="superscript"/>
        </w:rPr>
        <w:t xml:space="preserve">2 </w:t>
      </w:r>
      <w:r w:rsidR="004E47D6" w:rsidRPr="009E3C49">
        <w:rPr>
          <w:rFonts w:ascii="Times New Roman" w:hAnsi="Times New Roman" w:cs="Times New Roman"/>
          <w:sz w:val="24"/>
          <w:szCs w:val="24"/>
        </w:rPr>
        <w:t xml:space="preserve"> </w:t>
      </w:r>
      <w:r w:rsidR="0040053A" w:rsidRPr="009E3C49">
        <w:rPr>
          <w:rFonts w:ascii="Times New Roman" w:hAnsi="Times New Roman" w:cs="Times New Roman"/>
          <w:sz w:val="24"/>
          <w:szCs w:val="24"/>
        </w:rPr>
        <w:t xml:space="preserve">of </w:t>
      </w:r>
      <w:r w:rsidR="004E47D6" w:rsidRPr="009E3C49">
        <w:rPr>
          <w:rFonts w:ascii="Times New Roman" w:hAnsi="Times New Roman" w:cs="Times New Roman"/>
          <w:sz w:val="24"/>
          <w:szCs w:val="24"/>
        </w:rPr>
        <w:t>50%</w:t>
      </w:r>
      <w:r w:rsidR="00332E8C" w:rsidRPr="009E3C49">
        <w:rPr>
          <w:rFonts w:ascii="Times New Roman" w:hAnsi="Times New Roman" w:cs="Times New Roman"/>
          <w:sz w:val="24"/>
          <w:szCs w:val="24"/>
        </w:rPr>
        <w:t xml:space="preserve"> </w:t>
      </w:r>
      <w:r w:rsidR="004E47D6" w:rsidRPr="009E3C49">
        <w:rPr>
          <w:rFonts w:ascii="Times New Roman" w:hAnsi="Times New Roman" w:cs="Times New Roman"/>
          <w:sz w:val="24"/>
          <w:szCs w:val="24"/>
        </w:rPr>
        <w:t>for the pooled studies</w:t>
      </w:r>
    </w:p>
    <w:p w:rsidR="004921C8" w:rsidRPr="009E3C49" w:rsidRDefault="004921C8" w:rsidP="004921C8">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Complications and side effects were more common in surgically than in n</w:t>
      </w:r>
      <w:r w:rsidR="006250FD" w:rsidRPr="009E3C49">
        <w:rPr>
          <w:rFonts w:ascii="Times New Roman" w:hAnsi="Times New Roman" w:cs="Times New Roman"/>
          <w:sz w:val="24"/>
          <w:szCs w:val="24"/>
        </w:rPr>
        <w:t>on-surgically treated patients</w:t>
      </w:r>
    </w:p>
    <w:p w:rsidR="006250FD" w:rsidRPr="009E3C49" w:rsidRDefault="006250FD" w:rsidP="006250FD">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There was large variation across studies in complication rates, due to some authors reporting all complications regardless of severity with other authors declaring only clinically important complications</w:t>
      </w:r>
    </w:p>
    <w:p w:rsidR="006250FD" w:rsidRPr="009E3C49" w:rsidRDefault="006250FD" w:rsidP="006250FD">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lastRenderedPageBreak/>
        <w:t>For surgery, a number of minor adverse effects were seen, such as wound hematoma, skin irritation, painful scar or stiff wrist which resolved over a few weeks</w:t>
      </w:r>
    </w:p>
    <w:p w:rsidR="006250FD" w:rsidRPr="009E3C49" w:rsidRDefault="006250FD" w:rsidP="006250FD">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For non-surgery, splinting sometimes led to swelling of the wrist, finger, or hand</w:t>
      </w:r>
    </w:p>
    <w:p w:rsidR="007D47C9" w:rsidRPr="009E3C49" w:rsidRDefault="007D47C9" w:rsidP="007D47C9">
      <w:pPr>
        <w:rPr>
          <w:rFonts w:ascii="Times New Roman" w:hAnsi="Times New Roman" w:cs="Times New Roman"/>
          <w:sz w:val="24"/>
          <w:szCs w:val="24"/>
        </w:rPr>
      </w:pPr>
      <w:r w:rsidRPr="009E3C49">
        <w:rPr>
          <w:rFonts w:ascii="Times New Roman" w:hAnsi="Times New Roman" w:cs="Times New Roman"/>
          <w:sz w:val="24"/>
          <w:szCs w:val="24"/>
        </w:rPr>
        <w:t>Authors conclusions:</w:t>
      </w:r>
    </w:p>
    <w:p w:rsidR="007D47C9" w:rsidRPr="009E3C49" w:rsidRDefault="004A6B0D" w:rsidP="007D47C9">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Both surgical and nonsurgical conservative interventions are beneficial in the management of CTS</w:t>
      </w:r>
    </w:p>
    <w:p w:rsidR="004A6B0D" w:rsidRPr="009E3C49" w:rsidRDefault="004A6B0D" w:rsidP="007D47C9">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Surgery provides better outcomes in terms of symptoms and return of nerve conduction, but there are more complications with surgery than with conservative treatment</w:t>
      </w:r>
    </w:p>
    <w:p w:rsidR="004A6B0D" w:rsidRPr="009E3C49" w:rsidRDefault="004A6B0D" w:rsidP="007D47C9">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 xml:space="preserve">The </w:t>
      </w:r>
      <w:r w:rsidR="00705D1F" w:rsidRPr="009E3C49">
        <w:rPr>
          <w:rFonts w:ascii="Times New Roman" w:hAnsi="Times New Roman" w:cs="Times New Roman"/>
          <w:sz w:val="24"/>
          <w:szCs w:val="24"/>
        </w:rPr>
        <w:t>size of the incremental benefit of surgery over non-surgery is small to moderate, and conservative treatment is effective can circumvent the need for surgery in a certain proportion of patients, making it a justified first line treatment</w:t>
      </w:r>
    </w:p>
    <w:p w:rsidR="00EB737B" w:rsidRPr="009E3C49" w:rsidRDefault="00EB737B" w:rsidP="00EB737B">
      <w:pPr>
        <w:rPr>
          <w:rFonts w:ascii="Times New Roman" w:hAnsi="Times New Roman" w:cs="Times New Roman"/>
          <w:sz w:val="24"/>
          <w:szCs w:val="24"/>
        </w:rPr>
      </w:pPr>
      <w:r w:rsidRPr="009E3C49">
        <w:rPr>
          <w:rFonts w:ascii="Times New Roman" w:hAnsi="Times New Roman" w:cs="Times New Roman"/>
          <w:sz w:val="24"/>
          <w:szCs w:val="24"/>
        </w:rPr>
        <w:t>Comments:</w:t>
      </w:r>
    </w:p>
    <w:p w:rsidR="00EB737B" w:rsidRPr="009E3C49" w:rsidRDefault="00833699" w:rsidP="00833699">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The authors acknowledge the limitations of the Jadad scale (attached)  as a quality measure for assessing clinical trials, and supplement it with a 24-item Structured Effectiveness Quality Evaluation Scale (SEQES) which is attached</w:t>
      </w:r>
    </w:p>
    <w:p w:rsidR="00833699" w:rsidRPr="009E3C49" w:rsidRDefault="00833699" w:rsidP="00833699">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Neither the Jadad nor the SEQES has a specific question relating to concealment of allocation, which is an important criterion for avoiding bias in randomized trials</w:t>
      </w:r>
    </w:p>
    <w:p w:rsidR="00833699" w:rsidRPr="009E3C49" w:rsidRDefault="00833699" w:rsidP="00B22898">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However,</w:t>
      </w:r>
      <w:r w:rsidR="00B22898" w:rsidRPr="009E3C49">
        <w:rPr>
          <w:rFonts w:ascii="Times New Roman" w:hAnsi="Times New Roman" w:cs="Times New Roman"/>
          <w:sz w:val="24"/>
          <w:szCs w:val="24"/>
        </w:rPr>
        <w:t xml:space="preserve"> the authors awarded only one point for randomization to the study by Ucan 2006 </w:t>
      </w:r>
    </w:p>
    <w:p w:rsidR="00267E1B" w:rsidRPr="009E3C49" w:rsidRDefault="00B22898" w:rsidP="00B22898">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Ucan 2006 randomized patients with “previously prepared, randomly enumerated closed envelopes</w:t>
      </w:r>
      <w:r w:rsidR="00E77214" w:rsidRPr="009E3C49">
        <w:rPr>
          <w:rFonts w:ascii="Times New Roman" w:hAnsi="Times New Roman" w:cs="Times New Roman"/>
          <w:sz w:val="24"/>
          <w:szCs w:val="24"/>
        </w:rPr>
        <w:t>” without specifying that the envelopes were opaque, and it is possible that this led to the authors not awarding two points to the study for adequate randomization</w:t>
      </w:r>
      <w:r w:rsidR="00267E1B" w:rsidRPr="009E3C49">
        <w:rPr>
          <w:rFonts w:ascii="Times New Roman" w:hAnsi="Times New Roman" w:cs="Times New Roman"/>
          <w:sz w:val="24"/>
          <w:szCs w:val="24"/>
        </w:rPr>
        <w:t>, giving it a Jadad score of 2, while the studies by Gerritsen 2002 and Jarvik 2009 had Jadad scores of 3 for making the method of allocation concealment more explicit</w:t>
      </w:r>
    </w:p>
    <w:p w:rsidR="00B22898" w:rsidRPr="009E3C49" w:rsidRDefault="00BC1FCF" w:rsidP="00267E1B">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The principal outcome of symptomatic and functional improvement at 6 months was estimated by pooling 4 studies which used similar questionnaires for symptoms and for function</w:t>
      </w:r>
      <w:r w:rsidR="00267E1B" w:rsidRPr="009E3C49">
        <w:rPr>
          <w:rFonts w:ascii="Times New Roman" w:hAnsi="Times New Roman" w:cs="Times New Roman"/>
          <w:sz w:val="24"/>
          <w:szCs w:val="24"/>
        </w:rPr>
        <w:t xml:space="preserve"> </w:t>
      </w:r>
    </w:p>
    <w:p w:rsidR="00767D0F" w:rsidRPr="009E3C49" w:rsidRDefault="00767D0F" w:rsidP="00767D0F">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Of these 4 studies, one was not randomized (Jadad score of 0), and the other was Ucan with a Jadad score of 2; the other two studies in the pooled meta-analysis were Gerritsen and Jarvik</w:t>
      </w:r>
    </w:p>
    <w:p w:rsidR="00281536" w:rsidRPr="009E3C49" w:rsidRDefault="00281536" w:rsidP="00AA00C2">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 xml:space="preserve">Even though there were differences in the non-surgical intervention (Jarvik using multi-modality, Ucan </w:t>
      </w:r>
      <w:r w:rsidR="00AA00C2" w:rsidRPr="009E3C49">
        <w:rPr>
          <w:rFonts w:ascii="Times New Roman" w:hAnsi="Times New Roman" w:cs="Times New Roman"/>
          <w:sz w:val="24"/>
          <w:szCs w:val="24"/>
        </w:rPr>
        <w:t xml:space="preserve">using 3 months of splinting plus a steroid injection, Gerritsen using 6 weeks of splinting, Demirci using 2 steroid </w:t>
      </w:r>
      <w:r w:rsidR="00AA00C2" w:rsidRPr="009E3C49">
        <w:rPr>
          <w:rFonts w:ascii="Times New Roman" w:hAnsi="Times New Roman" w:cs="Times New Roman"/>
          <w:sz w:val="24"/>
          <w:szCs w:val="24"/>
        </w:rPr>
        <w:lastRenderedPageBreak/>
        <w:t>injections), the I</w:t>
      </w:r>
      <w:r w:rsidR="00AA00C2" w:rsidRPr="009E3C49">
        <w:rPr>
          <w:rFonts w:ascii="Times New Roman" w:hAnsi="Times New Roman" w:cs="Times New Roman"/>
          <w:sz w:val="24"/>
          <w:szCs w:val="24"/>
          <w:vertAlign w:val="superscript"/>
        </w:rPr>
        <w:t>2</w:t>
      </w:r>
      <w:r w:rsidR="00AA00C2" w:rsidRPr="009E3C49">
        <w:rPr>
          <w:rFonts w:ascii="Times New Roman" w:hAnsi="Times New Roman" w:cs="Times New Roman"/>
          <w:sz w:val="24"/>
          <w:szCs w:val="24"/>
        </w:rPr>
        <w:t xml:space="preserve"> heterogeneity measure is 40%, which does not exceed the 50% generally considered to indicate considerable heterogeneity</w:t>
      </w:r>
    </w:p>
    <w:p w:rsidR="00AA00C2" w:rsidRPr="009E3C49" w:rsidRDefault="00AA00C2" w:rsidP="00AA00C2">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Ucan had two conservative treatment groups, one using only splinting (n=23) and one using splinting plus one steroid injection (n=23); the latter group was selected by the authors for comparison with surgery</w:t>
      </w:r>
    </w:p>
    <w:p w:rsidR="003E5F78" w:rsidRPr="009E3C49" w:rsidRDefault="003E5F78" w:rsidP="00AA00C2">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 xml:space="preserve">Jarvik treated the conservative group with NSIDs and 6 sessions of individualized therapy with a  hand therapist, which included instruction on splint use </w:t>
      </w:r>
    </w:p>
    <w:p w:rsidR="00767D0F" w:rsidRPr="009E3C49" w:rsidRDefault="002E4138" w:rsidP="002E4138">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Figure 1 pools functional improvement data at 6 months from these 4 studies, while figure 2 pools symptom improvement at 6 months</w:t>
      </w:r>
    </w:p>
    <w:p w:rsidR="002E4138" w:rsidRPr="009E3C49" w:rsidRDefault="002E4138" w:rsidP="002E4138">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The functional improvement from the 4 studies favored surgery, with the pooled estimate in Figure 1 being equal to 0.35 on a scale from 1 to 5</w:t>
      </w:r>
    </w:p>
    <w:p w:rsidR="002E4138" w:rsidRPr="009E3C49" w:rsidRDefault="002E4138" w:rsidP="00700F88">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When the two weaker studies (Ucan 2006 and Demirci 2002) are removed from the analysis in Figure 1, and only the two higher quality studies are retained, the effect size in favor of surgery is larger, with a mean difference of 0.51 points</w:t>
      </w:r>
      <w:r w:rsidR="00700F88" w:rsidRPr="009E3C49">
        <w:rPr>
          <w:rFonts w:ascii="Times New Roman" w:hAnsi="Times New Roman" w:cs="Times New Roman"/>
          <w:sz w:val="24"/>
          <w:szCs w:val="24"/>
        </w:rPr>
        <w:t xml:space="preserve">: </w:t>
      </w:r>
      <w:r w:rsidR="00700F88" w:rsidRPr="009E3C49">
        <w:rPr>
          <w:rFonts w:ascii="Times New Roman" w:hAnsi="Times New Roman" w:cs="Times New Roman"/>
          <w:noProof/>
          <w:sz w:val="24"/>
          <w:szCs w:val="24"/>
        </w:rPr>
        <w:drawing>
          <wp:inline distT="0" distB="0" distL="0" distR="0" wp14:anchorId="513F1BF1" wp14:editId="7D1FC9E8">
            <wp:extent cx="5737860" cy="1341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7860" cy="1341120"/>
                    </a:xfrm>
                    <a:prstGeom prst="rect">
                      <a:avLst/>
                    </a:prstGeom>
                  </pic:spPr>
                </pic:pic>
              </a:graphicData>
            </a:graphic>
          </wp:inline>
        </w:drawing>
      </w:r>
    </w:p>
    <w:p w:rsidR="00700F88" w:rsidRPr="009E3C49" w:rsidRDefault="00F30A7A" w:rsidP="00700F88">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This is of interest because it is generally suspected that the effect of an intervention will appear greater in studies with poor control of bias than in studies with better control of bias</w:t>
      </w:r>
    </w:p>
    <w:p w:rsidR="005069BA" w:rsidRPr="009E3C49" w:rsidRDefault="005069BA" w:rsidP="005069BA">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 xml:space="preserve">When Figure 2, symptom improvement at 6 months, is analyzed with only the two higher-quality studies, the estimate of the effect size for surgery is essentially  the same, 0.40 in favor of surgery rather than 0.43: </w:t>
      </w:r>
      <w:r w:rsidRPr="009E3C49">
        <w:rPr>
          <w:rFonts w:ascii="Times New Roman" w:hAnsi="Times New Roman" w:cs="Times New Roman"/>
          <w:noProof/>
          <w:sz w:val="24"/>
          <w:szCs w:val="24"/>
        </w:rPr>
        <w:drawing>
          <wp:inline distT="0" distB="0" distL="0" distR="0" wp14:anchorId="4791D5EC" wp14:editId="40C89653">
            <wp:extent cx="5737860" cy="1341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7860" cy="1341120"/>
                    </a:xfrm>
                    <a:prstGeom prst="rect">
                      <a:avLst/>
                    </a:prstGeom>
                  </pic:spPr>
                </pic:pic>
              </a:graphicData>
            </a:graphic>
          </wp:inline>
        </w:drawing>
      </w:r>
    </w:p>
    <w:p w:rsidR="00CC24C6" w:rsidRPr="009E3C49" w:rsidRDefault="005069BA" w:rsidP="005069BA">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 xml:space="preserve">The authors state that the treatment advantage of surgery is relatively small, but for the Boston questionnaire which was used to measure symptom and functional improvement, there is not an agreed upon minimum clinically important difference (MCID) </w:t>
      </w:r>
      <w:r w:rsidR="00CC24C6" w:rsidRPr="009E3C49">
        <w:rPr>
          <w:rFonts w:ascii="Times New Roman" w:hAnsi="Times New Roman" w:cs="Times New Roman"/>
          <w:sz w:val="24"/>
          <w:szCs w:val="24"/>
        </w:rPr>
        <w:t>against which the effect size can be compared</w:t>
      </w:r>
    </w:p>
    <w:p w:rsidR="005069BA" w:rsidRPr="009E3C49" w:rsidRDefault="00912EC4" w:rsidP="005069BA">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lastRenderedPageBreak/>
        <w:t>However, it is possible to pool the effect sizes using standardized mean differences</w:t>
      </w:r>
      <w:r w:rsidR="00577908" w:rsidRPr="009E3C49">
        <w:rPr>
          <w:rFonts w:ascii="Times New Roman" w:hAnsi="Times New Roman" w:cs="Times New Roman"/>
          <w:sz w:val="24"/>
          <w:szCs w:val="24"/>
        </w:rPr>
        <w:t xml:space="preserve"> (SMD)</w:t>
      </w:r>
      <w:r w:rsidRPr="009E3C49">
        <w:rPr>
          <w:rFonts w:ascii="Times New Roman" w:hAnsi="Times New Roman" w:cs="Times New Roman"/>
          <w:sz w:val="24"/>
          <w:szCs w:val="24"/>
        </w:rPr>
        <w:t xml:space="preserve">, which measure the differences in outcome in terms of standard deviations, and there is a commonly agreed upon scale for </w:t>
      </w:r>
      <w:r w:rsidR="005069BA" w:rsidRPr="009E3C49">
        <w:rPr>
          <w:rFonts w:ascii="Times New Roman" w:hAnsi="Times New Roman" w:cs="Times New Roman"/>
          <w:sz w:val="24"/>
          <w:szCs w:val="24"/>
        </w:rPr>
        <w:t xml:space="preserve"> </w:t>
      </w:r>
      <w:r w:rsidR="00577908" w:rsidRPr="009E3C49">
        <w:rPr>
          <w:rFonts w:ascii="Times New Roman" w:hAnsi="Times New Roman" w:cs="Times New Roman"/>
          <w:sz w:val="24"/>
          <w:szCs w:val="24"/>
        </w:rPr>
        <w:t>SMD</w:t>
      </w:r>
    </w:p>
    <w:p w:rsidR="00577908" w:rsidRPr="009E3C49" w:rsidRDefault="00577908" w:rsidP="00577908">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Less than 0.2 SD is no difference</w:t>
      </w:r>
    </w:p>
    <w:p w:rsidR="00577908" w:rsidRPr="009E3C49" w:rsidRDefault="00577908" w:rsidP="00577908">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0.2 SD is “small”</w:t>
      </w:r>
    </w:p>
    <w:p w:rsidR="00577908" w:rsidRPr="009E3C49" w:rsidRDefault="00577908" w:rsidP="00577908">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0.5 SD is “moderate”</w:t>
      </w:r>
    </w:p>
    <w:p w:rsidR="00577908" w:rsidRPr="009E3C49" w:rsidRDefault="00577908" w:rsidP="00577908">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0.8 SD or greater is “large”</w:t>
      </w:r>
    </w:p>
    <w:p w:rsidR="00577908" w:rsidRPr="009E3C49" w:rsidRDefault="00577908" w:rsidP="00577908">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For Figure 1, the treatment advantage of surgery from the four studies is 0.58, which would qualify as a “moderate” advantage</w:t>
      </w:r>
    </w:p>
    <w:p w:rsidR="006A6608" w:rsidRPr="009E3C49" w:rsidRDefault="000A3C67" w:rsidP="006A6608">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 xml:space="preserve">For the two higher-quality studies, patients qualified for inclusion without having had a prolonged period of CTS symptoms: Jarvik required 2 weeks and Gerritsen </w:t>
      </w:r>
      <w:r w:rsidR="006A6608" w:rsidRPr="009E3C49">
        <w:rPr>
          <w:rFonts w:ascii="Times New Roman" w:hAnsi="Times New Roman" w:cs="Times New Roman"/>
          <w:sz w:val="24"/>
          <w:szCs w:val="24"/>
        </w:rPr>
        <w:t>did not have a minimal duration of symptoms, while both Ucan and Demirci required 6 months of symptoms for entry into the study</w:t>
      </w:r>
    </w:p>
    <w:p w:rsidR="000A3C67" w:rsidRPr="009E3C49" w:rsidRDefault="000A3C67" w:rsidP="000A3C67">
      <w:pPr>
        <w:pStyle w:val="ListParagraph"/>
        <w:numPr>
          <w:ilvl w:val="0"/>
          <w:numId w:val="1"/>
        </w:numPr>
        <w:rPr>
          <w:rFonts w:ascii="Times New Roman" w:hAnsi="Times New Roman" w:cs="Times New Roman"/>
          <w:sz w:val="24"/>
          <w:szCs w:val="24"/>
        </w:rPr>
      </w:pPr>
      <w:r w:rsidRPr="009E3C49">
        <w:rPr>
          <w:rFonts w:ascii="Times New Roman" w:hAnsi="Times New Roman" w:cs="Times New Roman"/>
          <w:sz w:val="24"/>
          <w:szCs w:val="24"/>
        </w:rPr>
        <w:t xml:space="preserve">The </w:t>
      </w:r>
      <w:r w:rsidR="006A6608" w:rsidRPr="009E3C49">
        <w:rPr>
          <w:rFonts w:ascii="Times New Roman" w:hAnsi="Times New Roman" w:cs="Times New Roman"/>
          <w:sz w:val="24"/>
          <w:szCs w:val="24"/>
        </w:rPr>
        <w:t>authors conclude</w:t>
      </w:r>
      <w:r w:rsidRPr="009E3C49">
        <w:rPr>
          <w:rFonts w:ascii="Times New Roman" w:hAnsi="Times New Roman" w:cs="Times New Roman"/>
          <w:sz w:val="24"/>
          <w:szCs w:val="24"/>
        </w:rPr>
        <w:t xml:space="preserve"> that further randomized trials </w:t>
      </w:r>
      <w:r w:rsidR="006A6608" w:rsidRPr="009E3C49">
        <w:rPr>
          <w:rFonts w:ascii="Times New Roman" w:hAnsi="Times New Roman" w:cs="Times New Roman"/>
          <w:sz w:val="24"/>
          <w:szCs w:val="24"/>
        </w:rPr>
        <w:t xml:space="preserve">comparing surgery versus non-surgery </w:t>
      </w:r>
      <w:r w:rsidR="00845E6D" w:rsidRPr="009E3C49">
        <w:rPr>
          <w:rFonts w:ascii="Times New Roman" w:hAnsi="Times New Roman" w:cs="Times New Roman"/>
          <w:sz w:val="24"/>
          <w:szCs w:val="24"/>
        </w:rPr>
        <w:t>would be less helpful than good prognostic studies to identify which CTS patients require surgery after a fair trial of conservative treatment</w:t>
      </w:r>
    </w:p>
    <w:p w:rsidR="00DE6B04" w:rsidRDefault="00DE6B04" w:rsidP="00DE6B04">
      <w:pPr>
        <w:pStyle w:val="ListParagraph"/>
        <w:numPr>
          <w:ilvl w:val="1"/>
          <w:numId w:val="1"/>
        </w:numPr>
        <w:rPr>
          <w:rFonts w:ascii="Times New Roman" w:hAnsi="Times New Roman" w:cs="Times New Roman"/>
          <w:sz w:val="24"/>
          <w:szCs w:val="24"/>
        </w:rPr>
      </w:pPr>
      <w:r w:rsidRPr="009E3C49">
        <w:rPr>
          <w:rFonts w:ascii="Times New Roman" w:hAnsi="Times New Roman" w:cs="Times New Roman"/>
          <w:sz w:val="24"/>
          <w:szCs w:val="24"/>
        </w:rPr>
        <w:t xml:space="preserve">This is a reasonable opinion, since the meta-analysis of randomized trials can estimate the average treatment advantage of surgery, but do not identify which patients </w:t>
      </w:r>
      <w:r w:rsidR="001A5DF7" w:rsidRPr="009E3C49">
        <w:rPr>
          <w:rFonts w:ascii="Times New Roman" w:hAnsi="Times New Roman" w:cs="Times New Roman"/>
          <w:sz w:val="24"/>
          <w:szCs w:val="24"/>
        </w:rPr>
        <w:t xml:space="preserve">required eventual surgery </w:t>
      </w:r>
    </w:p>
    <w:p w:rsidR="00F42647" w:rsidRPr="009E3C49" w:rsidRDefault="00F42647" w:rsidP="00F426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There is strong evidence from randomized trials that the benefits of steroid injection are transient in nature, being most effective in the very short term, but showing waning benefits in the intermediate and longer term</w:t>
      </w:r>
    </w:p>
    <w:p w:rsidR="001A5DF7" w:rsidRPr="009E3C49" w:rsidRDefault="001A5DF7" w:rsidP="001A5DF7">
      <w:pPr>
        <w:rPr>
          <w:rFonts w:ascii="Times New Roman" w:hAnsi="Times New Roman" w:cs="Times New Roman"/>
          <w:sz w:val="24"/>
          <w:szCs w:val="24"/>
        </w:rPr>
      </w:pPr>
      <w:r w:rsidRPr="009E3C49">
        <w:rPr>
          <w:rFonts w:ascii="Times New Roman" w:hAnsi="Times New Roman" w:cs="Times New Roman"/>
          <w:sz w:val="24"/>
          <w:szCs w:val="24"/>
        </w:rPr>
        <w:t xml:space="preserve">Assessment: </w:t>
      </w:r>
      <w:r w:rsidR="005329D4" w:rsidRPr="009E3C49">
        <w:rPr>
          <w:rFonts w:ascii="Times New Roman" w:hAnsi="Times New Roman" w:cs="Times New Roman"/>
          <w:sz w:val="24"/>
          <w:szCs w:val="24"/>
        </w:rPr>
        <w:t xml:space="preserve">High-quality systematic review and meta-analysis which supports strong evidence that </w:t>
      </w:r>
      <w:r w:rsidR="00692997" w:rsidRPr="009E3C49">
        <w:rPr>
          <w:rFonts w:ascii="Times New Roman" w:hAnsi="Times New Roman" w:cs="Times New Roman"/>
          <w:sz w:val="24"/>
          <w:szCs w:val="24"/>
        </w:rPr>
        <w:t xml:space="preserve">in patients with CTS which has not become chronic, carpal tunnel release leads to a moderate treatment advantage with respect to functional improvement 6 months after surgery. </w:t>
      </w:r>
      <w:r w:rsidR="00DD1870">
        <w:rPr>
          <w:rFonts w:ascii="Times New Roman" w:hAnsi="Times New Roman" w:cs="Times New Roman"/>
          <w:sz w:val="24"/>
          <w:szCs w:val="24"/>
        </w:rPr>
        <w:t xml:space="preserve">Because the benefits of steroid injection are transient, the initial nonoperative treatment plan should not expect these injections to resolve the problem.  </w:t>
      </w:r>
      <w:r w:rsidR="00692997" w:rsidRPr="009E3C49">
        <w:rPr>
          <w:rFonts w:ascii="Times New Roman" w:hAnsi="Times New Roman" w:cs="Times New Roman"/>
          <w:sz w:val="24"/>
          <w:szCs w:val="24"/>
        </w:rPr>
        <w:t xml:space="preserve">However, </w:t>
      </w:r>
      <w:r w:rsidR="003E5F78" w:rsidRPr="009E3C49">
        <w:rPr>
          <w:rFonts w:ascii="Times New Roman" w:hAnsi="Times New Roman" w:cs="Times New Roman"/>
          <w:sz w:val="24"/>
          <w:szCs w:val="24"/>
        </w:rPr>
        <w:t xml:space="preserve">there is considerable benefit to </w:t>
      </w:r>
      <w:r w:rsidR="00692997" w:rsidRPr="009E3C49">
        <w:rPr>
          <w:rFonts w:ascii="Times New Roman" w:hAnsi="Times New Roman" w:cs="Times New Roman"/>
          <w:sz w:val="24"/>
          <w:szCs w:val="24"/>
        </w:rPr>
        <w:t>conservative</w:t>
      </w:r>
      <w:r w:rsidR="003E5F78" w:rsidRPr="009E3C49">
        <w:rPr>
          <w:rFonts w:ascii="Times New Roman" w:hAnsi="Times New Roman" w:cs="Times New Roman"/>
          <w:sz w:val="24"/>
          <w:szCs w:val="24"/>
        </w:rPr>
        <w:t xml:space="preserve"> treatment such as splinting </w:t>
      </w:r>
      <w:bookmarkStart w:id="0" w:name="_GoBack"/>
      <w:bookmarkEnd w:id="0"/>
      <w:r w:rsidR="003E5F78" w:rsidRPr="009E3C49">
        <w:rPr>
          <w:rFonts w:ascii="Times New Roman" w:hAnsi="Times New Roman" w:cs="Times New Roman"/>
          <w:sz w:val="24"/>
          <w:szCs w:val="24"/>
        </w:rPr>
        <w:t xml:space="preserve"> and individualized hand therapy, </w:t>
      </w:r>
      <w:r w:rsidR="00EF57EF" w:rsidRPr="009E3C49">
        <w:rPr>
          <w:rFonts w:ascii="Times New Roman" w:hAnsi="Times New Roman" w:cs="Times New Roman"/>
          <w:sz w:val="24"/>
          <w:szCs w:val="24"/>
        </w:rPr>
        <w:t xml:space="preserve">which are appropriate for first-line treatment, since there is insufficient evidence to identify which patients are likely not to benefit from conservative treatment sufficiently to avoid surgery. </w:t>
      </w:r>
    </w:p>
    <w:p w:rsidR="0062671F" w:rsidRPr="009E3C49" w:rsidRDefault="0062671F" w:rsidP="001A5DF7">
      <w:pPr>
        <w:rPr>
          <w:rFonts w:ascii="Times New Roman" w:hAnsi="Times New Roman" w:cs="Times New Roman"/>
          <w:sz w:val="24"/>
          <w:szCs w:val="24"/>
        </w:rPr>
      </w:pPr>
    </w:p>
    <w:p w:rsidR="0062671F" w:rsidRPr="009E3C49" w:rsidRDefault="0062671F" w:rsidP="001A5DF7">
      <w:pPr>
        <w:rPr>
          <w:rFonts w:ascii="Times New Roman" w:hAnsi="Times New Roman" w:cs="Times New Roman"/>
          <w:sz w:val="24"/>
          <w:szCs w:val="24"/>
        </w:rPr>
      </w:pPr>
      <w:r w:rsidRPr="009E3C49">
        <w:rPr>
          <w:rFonts w:ascii="Times New Roman" w:hAnsi="Times New Roman" w:cs="Times New Roman"/>
          <w:sz w:val="24"/>
          <w:szCs w:val="24"/>
        </w:rPr>
        <w:t>References:</w:t>
      </w:r>
    </w:p>
    <w:p w:rsidR="00437DBA" w:rsidRPr="009E3C49" w:rsidRDefault="00437DBA" w:rsidP="00437DBA">
      <w:pPr>
        <w:rPr>
          <w:rFonts w:ascii="Times New Roman" w:hAnsi="Times New Roman" w:cs="Times New Roman"/>
          <w:sz w:val="24"/>
          <w:szCs w:val="24"/>
        </w:rPr>
      </w:pPr>
    </w:p>
    <w:p w:rsidR="00437DBA" w:rsidRPr="009E3C49" w:rsidRDefault="00437DBA" w:rsidP="00437DBA">
      <w:pPr>
        <w:rPr>
          <w:rFonts w:ascii="Times New Roman" w:hAnsi="Times New Roman" w:cs="Times New Roman"/>
          <w:sz w:val="24"/>
          <w:szCs w:val="24"/>
        </w:rPr>
      </w:pPr>
    </w:p>
    <w:p w:rsidR="00437DBA" w:rsidRPr="009E3C49" w:rsidRDefault="00437DBA" w:rsidP="00437DBA">
      <w:pPr>
        <w:rPr>
          <w:rFonts w:ascii="Times New Roman" w:hAnsi="Times New Roman" w:cs="Times New Roman"/>
          <w:sz w:val="24"/>
          <w:szCs w:val="24"/>
        </w:rPr>
      </w:pPr>
    </w:p>
    <w:p w:rsidR="00437DBA" w:rsidRPr="009E3C49" w:rsidRDefault="00437DBA" w:rsidP="00437DBA">
      <w:pPr>
        <w:rPr>
          <w:rFonts w:ascii="Times New Roman" w:hAnsi="Times New Roman" w:cs="Times New Roman"/>
          <w:sz w:val="24"/>
          <w:szCs w:val="24"/>
        </w:rPr>
      </w:pPr>
      <w:proofErr w:type="spellStart"/>
      <w:r w:rsidRPr="009E3C49">
        <w:rPr>
          <w:rFonts w:ascii="Times New Roman" w:hAnsi="Times New Roman" w:cs="Times New Roman"/>
          <w:sz w:val="24"/>
          <w:szCs w:val="24"/>
        </w:rPr>
        <w:lastRenderedPageBreak/>
        <w:t>Demirci</w:t>
      </w:r>
      <w:proofErr w:type="spellEnd"/>
      <w:r w:rsidRPr="009E3C49">
        <w:rPr>
          <w:rFonts w:ascii="Times New Roman" w:hAnsi="Times New Roman" w:cs="Times New Roman"/>
          <w:sz w:val="24"/>
          <w:szCs w:val="24"/>
        </w:rPr>
        <w:t xml:space="preserve"> S, </w:t>
      </w:r>
      <w:proofErr w:type="spellStart"/>
      <w:r w:rsidRPr="009E3C49">
        <w:rPr>
          <w:rFonts w:ascii="Times New Roman" w:hAnsi="Times New Roman" w:cs="Times New Roman"/>
          <w:sz w:val="24"/>
          <w:szCs w:val="24"/>
        </w:rPr>
        <w:t>Kutluhan</w:t>
      </w:r>
      <w:proofErr w:type="spellEnd"/>
      <w:r w:rsidRPr="009E3C49">
        <w:rPr>
          <w:rFonts w:ascii="Times New Roman" w:hAnsi="Times New Roman" w:cs="Times New Roman"/>
          <w:sz w:val="24"/>
          <w:szCs w:val="24"/>
        </w:rPr>
        <w:t xml:space="preserve"> </w:t>
      </w:r>
      <w:proofErr w:type="spellStart"/>
      <w:r w:rsidRPr="009E3C49">
        <w:rPr>
          <w:rFonts w:ascii="Times New Roman" w:hAnsi="Times New Roman" w:cs="Times New Roman"/>
          <w:sz w:val="24"/>
          <w:szCs w:val="24"/>
        </w:rPr>
        <w:t>S,et</w:t>
      </w:r>
      <w:proofErr w:type="spellEnd"/>
      <w:r w:rsidRPr="009E3C49">
        <w:rPr>
          <w:rFonts w:ascii="Times New Roman" w:hAnsi="Times New Roman" w:cs="Times New Roman"/>
          <w:sz w:val="24"/>
          <w:szCs w:val="24"/>
        </w:rPr>
        <w:t xml:space="preserve"> al: Comparison of open carpal tunnel release and local steroid treatment outcomes in idiopathic carpal tunnel syndrome. </w:t>
      </w:r>
      <w:proofErr w:type="spellStart"/>
      <w:r w:rsidRPr="009E3C49">
        <w:rPr>
          <w:rFonts w:ascii="Times New Roman" w:hAnsi="Times New Roman" w:cs="Times New Roman"/>
          <w:sz w:val="24"/>
          <w:szCs w:val="24"/>
        </w:rPr>
        <w:t>Rheumatol</w:t>
      </w:r>
      <w:proofErr w:type="spellEnd"/>
      <w:r w:rsidRPr="009E3C49">
        <w:rPr>
          <w:rFonts w:ascii="Times New Roman" w:hAnsi="Times New Roman" w:cs="Times New Roman"/>
          <w:sz w:val="24"/>
          <w:szCs w:val="24"/>
        </w:rPr>
        <w:t xml:space="preserve"> </w:t>
      </w:r>
      <w:proofErr w:type="spellStart"/>
      <w:r w:rsidRPr="009E3C49">
        <w:rPr>
          <w:rFonts w:ascii="Times New Roman" w:hAnsi="Times New Roman" w:cs="Times New Roman"/>
          <w:sz w:val="24"/>
          <w:szCs w:val="24"/>
        </w:rPr>
        <w:t>Int</w:t>
      </w:r>
      <w:proofErr w:type="spellEnd"/>
      <w:r w:rsidRPr="009E3C49">
        <w:rPr>
          <w:rFonts w:ascii="Times New Roman" w:hAnsi="Times New Roman" w:cs="Times New Roman"/>
          <w:sz w:val="24"/>
          <w:szCs w:val="24"/>
        </w:rPr>
        <w:t xml:space="preserve"> 2002, 22(1):33-37.</w:t>
      </w:r>
    </w:p>
    <w:p w:rsidR="00437DBA" w:rsidRPr="009E3C49" w:rsidRDefault="00437DBA" w:rsidP="00437DBA">
      <w:pPr>
        <w:rPr>
          <w:rFonts w:ascii="Times New Roman" w:hAnsi="Times New Roman" w:cs="Times New Roman"/>
          <w:sz w:val="24"/>
          <w:szCs w:val="24"/>
        </w:rPr>
      </w:pPr>
      <w:r w:rsidRPr="009E3C49">
        <w:rPr>
          <w:rFonts w:ascii="Times New Roman" w:hAnsi="Times New Roman" w:cs="Times New Roman"/>
          <w:sz w:val="24"/>
          <w:szCs w:val="24"/>
        </w:rPr>
        <w:t xml:space="preserve">Gerritsen AAM, de Vet HCW, et al. Splinting vs. Surgery in the Treatment of Carpal Tunnel Syndrome. JAMA 2002;288:1245-1251. </w:t>
      </w:r>
    </w:p>
    <w:p w:rsidR="00437DBA" w:rsidRPr="009E3C49" w:rsidRDefault="00437DBA" w:rsidP="00437DBA">
      <w:pPr>
        <w:rPr>
          <w:rFonts w:ascii="Times New Roman" w:hAnsi="Times New Roman" w:cs="Times New Roman"/>
          <w:sz w:val="24"/>
          <w:szCs w:val="24"/>
        </w:rPr>
      </w:pPr>
      <w:r w:rsidRPr="009E3C49">
        <w:rPr>
          <w:rFonts w:ascii="Times New Roman" w:hAnsi="Times New Roman" w:cs="Times New Roman"/>
          <w:sz w:val="24"/>
          <w:szCs w:val="24"/>
        </w:rPr>
        <w:t>Jarvik JG, Comstock BA, et al. Surgery versus non-surgical therapy for carpal tunnel syndrome: a randomised parallel-group trial. Lancet 2009, 374(9695):1074-81.</w:t>
      </w:r>
    </w:p>
    <w:p w:rsidR="00437DBA" w:rsidRPr="009E3C49" w:rsidRDefault="00437DBA" w:rsidP="00437DBA">
      <w:pPr>
        <w:rPr>
          <w:rFonts w:ascii="Times New Roman" w:hAnsi="Times New Roman" w:cs="Times New Roman"/>
          <w:sz w:val="24"/>
          <w:szCs w:val="24"/>
        </w:rPr>
      </w:pPr>
      <w:proofErr w:type="spellStart"/>
      <w:r w:rsidRPr="009E3C49">
        <w:rPr>
          <w:rFonts w:ascii="Times New Roman" w:hAnsi="Times New Roman" w:cs="Times New Roman"/>
          <w:sz w:val="24"/>
          <w:szCs w:val="24"/>
        </w:rPr>
        <w:t>Ucan</w:t>
      </w:r>
      <w:proofErr w:type="spellEnd"/>
      <w:r w:rsidRPr="009E3C49">
        <w:rPr>
          <w:rFonts w:ascii="Times New Roman" w:hAnsi="Times New Roman" w:cs="Times New Roman"/>
          <w:sz w:val="24"/>
          <w:szCs w:val="24"/>
        </w:rPr>
        <w:t xml:space="preserve"> H, </w:t>
      </w:r>
      <w:proofErr w:type="spellStart"/>
      <w:r w:rsidRPr="009E3C49">
        <w:rPr>
          <w:rFonts w:ascii="Times New Roman" w:hAnsi="Times New Roman" w:cs="Times New Roman"/>
          <w:sz w:val="24"/>
          <w:szCs w:val="24"/>
        </w:rPr>
        <w:t>Yagci</w:t>
      </w:r>
      <w:proofErr w:type="spellEnd"/>
      <w:r w:rsidRPr="009E3C49">
        <w:rPr>
          <w:rFonts w:ascii="Times New Roman" w:hAnsi="Times New Roman" w:cs="Times New Roman"/>
          <w:sz w:val="24"/>
          <w:szCs w:val="24"/>
        </w:rPr>
        <w:t xml:space="preserve"> I, Yilmaz L, </w:t>
      </w:r>
      <w:proofErr w:type="spellStart"/>
      <w:r w:rsidRPr="009E3C49">
        <w:rPr>
          <w:rFonts w:ascii="Times New Roman" w:hAnsi="Times New Roman" w:cs="Times New Roman"/>
          <w:sz w:val="24"/>
          <w:szCs w:val="24"/>
        </w:rPr>
        <w:t>Yagmurlu</w:t>
      </w:r>
      <w:proofErr w:type="spellEnd"/>
      <w:r w:rsidRPr="009E3C49">
        <w:rPr>
          <w:rFonts w:ascii="Times New Roman" w:hAnsi="Times New Roman" w:cs="Times New Roman"/>
          <w:sz w:val="24"/>
          <w:szCs w:val="24"/>
        </w:rPr>
        <w:t xml:space="preserve"> F, </w:t>
      </w:r>
      <w:proofErr w:type="spellStart"/>
      <w:r w:rsidRPr="009E3C49">
        <w:rPr>
          <w:rFonts w:ascii="Times New Roman" w:hAnsi="Times New Roman" w:cs="Times New Roman"/>
          <w:sz w:val="24"/>
          <w:szCs w:val="24"/>
        </w:rPr>
        <w:t>Keskin</w:t>
      </w:r>
      <w:proofErr w:type="spellEnd"/>
      <w:r w:rsidRPr="009E3C49">
        <w:rPr>
          <w:rFonts w:ascii="Times New Roman" w:hAnsi="Times New Roman" w:cs="Times New Roman"/>
          <w:sz w:val="24"/>
          <w:szCs w:val="24"/>
        </w:rPr>
        <w:t xml:space="preserve"> D, </w:t>
      </w:r>
      <w:proofErr w:type="spellStart"/>
      <w:r w:rsidRPr="009E3C49">
        <w:rPr>
          <w:rFonts w:ascii="Times New Roman" w:hAnsi="Times New Roman" w:cs="Times New Roman"/>
          <w:sz w:val="24"/>
          <w:szCs w:val="24"/>
        </w:rPr>
        <w:t>Bodur</w:t>
      </w:r>
      <w:proofErr w:type="spellEnd"/>
      <w:r w:rsidRPr="009E3C49">
        <w:rPr>
          <w:rFonts w:ascii="Times New Roman" w:hAnsi="Times New Roman" w:cs="Times New Roman"/>
          <w:sz w:val="24"/>
          <w:szCs w:val="24"/>
        </w:rPr>
        <w:t xml:space="preserve"> H: Comparison of splinting, splinting plus local steroid injection and open carpal tunnel release outcomes in idiopathic carpal tunnel syndrome. </w:t>
      </w:r>
      <w:proofErr w:type="spellStart"/>
      <w:r w:rsidRPr="009E3C49">
        <w:rPr>
          <w:rFonts w:ascii="Times New Roman" w:hAnsi="Times New Roman" w:cs="Times New Roman"/>
          <w:sz w:val="24"/>
          <w:szCs w:val="24"/>
        </w:rPr>
        <w:t>Rheumatol</w:t>
      </w:r>
      <w:proofErr w:type="spellEnd"/>
      <w:r w:rsidRPr="009E3C49">
        <w:rPr>
          <w:rFonts w:ascii="Times New Roman" w:hAnsi="Times New Roman" w:cs="Times New Roman"/>
          <w:sz w:val="24"/>
          <w:szCs w:val="24"/>
        </w:rPr>
        <w:t xml:space="preserve"> Int. 2006, 27(1):45-51.</w:t>
      </w:r>
    </w:p>
    <w:p w:rsidR="00721605" w:rsidRPr="009E3C49" w:rsidRDefault="00721605">
      <w:pPr>
        <w:rPr>
          <w:rFonts w:ascii="Times New Roman" w:hAnsi="Times New Roman" w:cs="Times New Roman"/>
          <w:sz w:val="24"/>
          <w:szCs w:val="24"/>
        </w:rPr>
      </w:pPr>
      <w:r w:rsidRPr="009E3C49">
        <w:rPr>
          <w:rFonts w:ascii="Times New Roman" w:hAnsi="Times New Roman" w:cs="Times New Roman"/>
          <w:sz w:val="24"/>
          <w:szCs w:val="24"/>
        </w:rPr>
        <w:br w:type="page"/>
      </w:r>
    </w:p>
    <w:p w:rsidR="00721605" w:rsidRPr="009E3C49" w:rsidRDefault="00721605" w:rsidP="00721605">
      <w:pPr>
        <w:pStyle w:val="Heading5"/>
        <w:spacing w:line="480" w:lineRule="auto"/>
        <w:rPr>
          <w:rFonts w:eastAsia="SimSun"/>
          <w:szCs w:val="24"/>
          <w:lang w:val="it-IT" w:eastAsia="zh-CN"/>
        </w:rPr>
      </w:pPr>
      <w:r w:rsidRPr="009E3C49">
        <w:rPr>
          <w:rFonts w:eastAsia="SimSun"/>
          <w:szCs w:val="24"/>
          <w:lang w:val="it-IT" w:eastAsia="zh-CN"/>
        </w:rPr>
        <w:lastRenderedPageBreak/>
        <w:t>Additional file</w:t>
      </w:r>
      <w:r w:rsidRPr="009E3C49">
        <w:rPr>
          <w:szCs w:val="24"/>
          <w:lang w:val="it-IT"/>
        </w:rPr>
        <w:t xml:space="preserve"> </w:t>
      </w:r>
      <w:r w:rsidRPr="009E3C49">
        <w:rPr>
          <w:rFonts w:eastAsia="SimSun"/>
          <w:szCs w:val="24"/>
          <w:lang w:val="it-IT" w:eastAsia="zh-CN"/>
        </w:rPr>
        <w:t>2</w:t>
      </w:r>
    </w:p>
    <w:p w:rsidR="00721605" w:rsidRPr="009E3C49" w:rsidRDefault="00721605" w:rsidP="00721605">
      <w:pPr>
        <w:autoSpaceDE w:val="0"/>
        <w:autoSpaceDN w:val="0"/>
        <w:adjustRightInd w:val="0"/>
        <w:spacing w:line="480" w:lineRule="auto"/>
        <w:jc w:val="center"/>
        <w:rPr>
          <w:rFonts w:ascii="Times New Roman" w:hAnsi="Times New Roman" w:cs="Times New Roman"/>
          <w:sz w:val="24"/>
          <w:szCs w:val="24"/>
          <w:lang w:val="it-IT"/>
        </w:rPr>
      </w:pPr>
      <w:r w:rsidRPr="009E3C49">
        <w:rPr>
          <w:rFonts w:ascii="Times New Roman" w:hAnsi="Times New Roman" w:cs="Times New Roman"/>
          <w:sz w:val="24"/>
          <w:szCs w:val="24"/>
          <w:lang w:val="it-IT"/>
        </w:rPr>
        <w:t>Jadad et al. Scale*</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Please read the article and try to answer the following questions (see attached instructions):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1. Was the study described as randomized (this includes the use of words such as randomly, random, and randomization)?</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2. Was the study described as double blind?</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3. Was there a description of withdrawals and dropouts?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Scoring the items: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Either give a score of 1 point for each “yes” or 0 points for each “no.” There are no in-between marks.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Give 1 additional point if: For question 1, the method to generate the sequence of randomization was described and it was appropriate (table of random numbers, computer generated, etc.)</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lang w:val="pt-BR"/>
        </w:rPr>
      </w:pPr>
      <w:r w:rsidRPr="009E3C49">
        <w:rPr>
          <w:rFonts w:ascii="Times New Roman" w:hAnsi="Times New Roman" w:cs="Times New Roman"/>
          <w:sz w:val="24"/>
          <w:szCs w:val="24"/>
        </w:rPr>
        <w:t xml:space="preserve">And/or: If for question 2 the method of double blinding was described and it was appropriate (identical </w:t>
      </w:r>
      <w:r w:rsidRPr="009E3C49">
        <w:rPr>
          <w:rFonts w:ascii="Times New Roman" w:hAnsi="Times New Roman" w:cs="Times New Roman"/>
          <w:sz w:val="24"/>
          <w:szCs w:val="24"/>
          <w:lang w:val="pt-BR"/>
        </w:rPr>
        <w:t>placebo, active placebo, dummy, etc.)</w:t>
      </w:r>
    </w:p>
    <w:p w:rsidR="00721605" w:rsidRPr="009E3C49" w:rsidRDefault="00721605" w:rsidP="00721605">
      <w:pPr>
        <w:autoSpaceDE w:val="0"/>
        <w:autoSpaceDN w:val="0"/>
        <w:adjustRightInd w:val="0"/>
        <w:spacing w:line="480" w:lineRule="auto"/>
        <w:rPr>
          <w:rFonts w:ascii="Times New Roman" w:hAnsi="Times New Roman" w:cs="Times New Roman"/>
          <w:sz w:val="24"/>
          <w:szCs w:val="24"/>
          <w:lang w:val="pt-BR"/>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lastRenderedPageBreak/>
        <w:t>Deduct 1 point if: For question 1, the method to generate the sequence of randomization was described and it was inappropriate (patients were allocated alternately, or according to date of birth, hospital number, etc.)</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 xml:space="preserve"> </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And/or For question 2, the study was described as double blind but the method of blinding was inappropriate (e.g., comparison of tablet versus injection with no double dummy)</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Guidelines for assessment</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1. Randomization</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A method to generate the sequence of randomization will be regarded as appropriate if it allowed each study participant to have the same chance of receiving each intervention and the investigators could not predict which treatment was next. Methods of allocation using date of birth, date of admission, hospital numbers, or alternation should be not regarded as appropriate.</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2. Double blinding</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A study must be regarded as double blind if the phrase “double blind” is used. The method will be regarded as appropriate if it is stated that neither the person doing the assessments nor the study participant could identify the intervention being assessed, or if in the absence of such a statement the use of active placebos, identical placebos, or dummies is mentioned.</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t>3. Withdrawals and dropouts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sz w:val="24"/>
          <w:szCs w:val="24"/>
        </w:rPr>
        <w:lastRenderedPageBreak/>
        <w:t>Participants who were included in the study but did not complete the observation period or who were not included in the analysis must be described. The number and the reasons for withdrawal in each group must be stated. If there were no withdrawals, it should be stated in the article. If there is no statement on withdrawals, this item must be given no points.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hAnsi="Times New Roman" w:cs="Times New Roman"/>
          <w:b/>
          <w:sz w:val="24"/>
          <w:szCs w:val="24"/>
        </w:rPr>
        <w:t xml:space="preserve">* From Jadad, A. R., Moore, A., Carroll, D., et al. Assessing the quality of reports of randomized clinical trials: Is blinding necessary? </w:t>
      </w:r>
      <w:r w:rsidRPr="009E3C49">
        <w:rPr>
          <w:rFonts w:ascii="Times New Roman" w:hAnsi="Times New Roman" w:cs="Times New Roman"/>
          <w:b/>
          <w:i/>
          <w:iCs/>
          <w:sz w:val="24"/>
          <w:szCs w:val="24"/>
        </w:rPr>
        <w:t xml:space="preserve">Control. </w:t>
      </w:r>
      <w:proofErr w:type="spellStart"/>
      <w:r w:rsidRPr="009E3C49">
        <w:rPr>
          <w:rFonts w:ascii="Times New Roman" w:hAnsi="Times New Roman" w:cs="Times New Roman"/>
          <w:b/>
          <w:i/>
          <w:iCs/>
          <w:sz w:val="24"/>
          <w:szCs w:val="24"/>
        </w:rPr>
        <w:t>Clin</w:t>
      </w:r>
      <w:proofErr w:type="spellEnd"/>
      <w:r w:rsidRPr="009E3C49">
        <w:rPr>
          <w:rFonts w:ascii="Times New Roman" w:hAnsi="Times New Roman" w:cs="Times New Roman"/>
          <w:b/>
          <w:i/>
          <w:iCs/>
          <w:sz w:val="24"/>
          <w:szCs w:val="24"/>
        </w:rPr>
        <w:t xml:space="preserve">. Trials </w:t>
      </w:r>
      <w:r w:rsidRPr="009E3C49">
        <w:rPr>
          <w:rFonts w:ascii="Times New Roman" w:hAnsi="Times New Roman" w:cs="Times New Roman"/>
          <w:b/>
          <w:sz w:val="24"/>
          <w:szCs w:val="24"/>
        </w:rPr>
        <w:t>17: 1, 1996.</w:t>
      </w:r>
    </w:p>
    <w:p w:rsidR="00721605" w:rsidRPr="009E3C49" w:rsidRDefault="00721605" w:rsidP="00721605">
      <w:pPr>
        <w:spacing w:line="480" w:lineRule="auto"/>
        <w:rPr>
          <w:rFonts w:ascii="Times New Roman" w:hAnsi="Times New Roman" w:cs="Times New Roman"/>
          <w:sz w:val="24"/>
          <w:szCs w:val="24"/>
        </w:rPr>
      </w:pPr>
    </w:p>
    <w:p w:rsidR="00721605" w:rsidRPr="009E3C49" w:rsidRDefault="00721605" w:rsidP="00721605">
      <w:pPr>
        <w:spacing w:line="480" w:lineRule="auto"/>
        <w:rPr>
          <w:rFonts w:ascii="Times New Roman" w:hAnsi="Times New Roman" w:cs="Times New Roman"/>
          <w:sz w:val="24"/>
          <w:szCs w:val="24"/>
        </w:rPr>
      </w:pPr>
    </w:p>
    <w:p w:rsidR="00721605" w:rsidRPr="009E3C49" w:rsidRDefault="00721605" w:rsidP="00721605">
      <w:pPr>
        <w:spacing w:line="480" w:lineRule="auto"/>
        <w:rPr>
          <w:rFonts w:ascii="Times New Roman" w:hAnsi="Times New Roman" w:cs="Times New Roman"/>
          <w:sz w:val="24"/>
          <w:szCs w:val="24"/>
        </w:rPr>
      </w:pPr>
    </w:p>
    <w:p w:rsidR="00721605" w:rsidRPr="009E3C49" w:rsidRDefault="00721605" w:rsidP="00721605">
      <w:pPr>
        <w:spacing w:line="480" w:lineRule="auto"/>
        <w:rPr>
          <w:rFonts w:ascii="Times New Roman" w:hAnsi="Times New Roman" w:cs="Times New Roman"/>
          <w:sz w:val="24"/>
          <w:szCs w:val="24"/>
        </w:rPr>
      </w:pPr>
    </w:p>
    <w:p w:rsidR="00721605" w:rsidRPr="009E3C49" w:rsidRDefault="00721605" w:rsidP="00721605">
      <w:pPr>
        <w:spacing w:line="480" w:lineRule="auto"/>
        <w:rPr>
          <w:rFonts w:ascii="Times New Roman" w:hAnsi="Times New Roman" w:cs="Times New Roman"/>
          <w:sz w:val="24"/>
          <w:szCs w:val="24"/>
        </w:rPr>
      </w:pPr>
    </w:p>
    <w:p w:rsidR="00721605" w:rsidRPr="009E3C49" w:rsidRDefault="00721605" w:rsidP="00721605">
      <w:pPr>
        <w:spacing w:line="480" w:lineRule="auto"/>
        <w:rPr>
          <w:rFonts w:ascii="Times New Roman" w:hAnsi="Times New Roman" w:cs="Times New Roman"/>
          <w:sz w:val="24"/>
          <w:szCs w:val="24"/>
        </w:rPr>
      </w:pPr>
    </w:p>
    <w:p w:rsidR="00721605" w:rsidRPr="009E3C49" w:rsidRDefault="00721605" w:rsidP="00721605">
      <w:pPr>
        <w:spacing w:line="480" w:lineRule="auto"/>
        <w:rPr>
          <w:rFonts w:ascii="Times New Roman" w:hAnsi="Times New Roman" w:cs="Times New Roman"/>
          <w:sz w:val="24"/>
          <w:szCs w:val="24"/>
        </w:rPr>
      </w:pPr>
    </w:p>
    <w:p w:rsidR="00721605" w:rsidRPr="009E3C49" w:rsidRDefault="00721605" w:rsidP="00721605">
      <w:pPr>
        <w:spacing w:line="480" w:lineRule="auto"/>
        <w:rPr>
          <w:rFonts w:ascii="Times New Roman" w:hAnsi="Times New Roman" w:cs="Times New Roman"/>
          <w:sz w:val="24"/>
          <w:szCs w:val="24"/>
        </w:rPr>
      </w:pPr>
    </w:p>
    <w:p w:rsidR="00721605" w:rsidRPr="009E3C49" w:rsidRDefault="00721605" w:rsidP="00721605">
      <w:pPr>
        <w:spacing w:line="480" w:lineRule="auto"/>
        <w:rPr>
          <w:rFonts w:ascii="Times New Roman" w:hAnsi="Times New Roman" w:cs="Times New Roman"/>
          <w:sz w:val="24"/>
          <w:szCs w:val="24"/>
        </w:rPr>
      </w:pPr>
    </w:p>
    <w:p w:rsidR="00721605" w:rsidRPr="009E3C49" w:rsidRDefault="00721605" w:rsidP="00721605">
      <w:pPr>
        <w:spacing w:line="480" w:lineRule="auto"/>
        <w:rPr>
          <w:rFonts w:ascii="Times New Roman" w:hAnsi="Times New Roman" w:cs="Times New Roman"/>
          <w:sz w:val="24"/>
          <w:szCs w:val="24"/>
        </w:rPr>
      </w:pPr>
    </w:p>
    <w:p w:rsidR="00721605" w:rsidRPr="009E3C49" w:rsidRDefault="00721605" w:rsidP="00721605">
      <w:pPr>
        <w:spacing w:line="480" w:lineRule="auto"/>
        <w:rPr>
          <w:rFonts w:ascii="Times New Roman" w:hAnsi="Times New Roman" w:cs="Times New Roman"/>
          <w:sz w:val="24"/>
          <w:szCs w:val="24"/>
        </w:rPr>
      </w:pPr>
    </w:p>
    <w:p w:rsidR="00721605" w:rsidRPr="009E3C49" w:rsidRDefault="00721605" w:rsidP="00721605">
      <w:pPr>
        <w:rPr>
          <w:rFonts w:ascii="Times New Roman" w:hAnsi="Times New Roman" w:cs="Times New Roman"/>
          <w:sz w:val="24"/>
          <w:szCs w:val="24"/>
        </w:rPr>
      </w:pPr>
    </w:p>
    <w:p w:rsidR="00721605" w:rsidRPr="009E3C49" w:rsidRDefault="00721605">
      <w:pPr>
        <w:rPr>
          <w:rFonts w:ascii="Times New Roman" w:hAnsi="Times New Roman" w:cs="Times New Roman"/>
          <w:sz w:val="24"/>
          <w:szCs w:val="24"/>
        </w:rPr>
      </w:pPr>
      <w:r w:rsidRPr="009E3C49">
        <w:rPr>
          <w:rFonts w:ascii="Times New Roman" w:hAnsi="Times New Roman" w:cs="Times New Roman"/>
          <w:sz w:val="24"/>
          <w:szCs w:val="24"/>
        </w:rPr>
        <w:br w:type="page"/>
      </w:r>
    </w:p>
    <w:p w:rsidR="00721605" w:rsidRPr="009E3C49" w:rsidRDefault="00721605" w:rsidP="00721605">
      <w:pPr>
        <w:pStyle w:val="Heading5"/>
        <w:spacing w:line="480" w:lineRule="auto"/>
        <w:rPr>
          <w:rFonts w:eastAsia="SimSun"/>
          <w:szCs w:val="24"/>
          <w:lang w:eastAsia="zh-CN"/>
        </w:rPr>
      </w:pPr>
      <w:r w:rsidRPr="009E3C49">
        <w:rPr>
          <w:rFonts w:eastAsia="SimSun"/>
          <w:szCs w:val="24"/>
          <w:lang w:eastAsia="zh-CN"/>
        </w:rPr>
        <w:lastRenderedPageBreak/>
        <w:t>Additional file</w:t>
      </w:r>
      <w:r w:rsidRPr="009E3C49">
        <w:rPr>
          <w:szCs w:val="24"/>
        </w:rPr>
        <w:t xml:space="preserve"> </w:t>
      </w:r>
      <w:r w:rsidRPr="009E3C49">
        <w:rPr>
          <w:rFonts w:eastAsia="SimSun"/>
          <w:szCs w:val="24"/>
          <w:lang w:eastAsia="zh-CN"/>
        </w:rPr>
        <w:t>3</w:t>
      </w:r>
    </w:p>
    <w:p w:rsidR="00721605" w:rsidRPr="009E3C49" w:rsidRDefault="00721605" w:rsidP="00721605">
      <w:pPr>
        <w:spacing w:line="480" w:lineRule="auto"/>
        <w:rPr>
          <w:rFonts w:ascii="Times New Roman" w:hAnsi="Times New Roman" w:cs="Times New Roman"/>
          <w:sz w:val="24"/>
          <w:szCs w:val="24"/>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Structured Effectiveness Quality Evaluation Scale (SEQES)</w:t>
      </w:r>
    </w:p>
    <w:p w:rsidR="00721605" w:rsidRPr="009E3C49" w:rsidRDefault="00721605" w:rsidP="00721605">
      <w:pPr>
        <w:pStyle w:val="Heading1"/>
        <w:spacing w:line="480" w:lineRule="auto"/>
        <w:rPr>
          <w:rFonts w:ascii="Times New Roman" w:eastAsia="SimSun" w:hAnsi="Times New Roman" w:cs="Times New Roman"/>
          <w:bCs w:val="0"/>
          <w:kern w:val="2"/>
          <w:sz w:val="24"/>
          <w:szCs w:val="24"/>
          <w:lang w:eastAsia="zh-CN"/>
        </w:rPr>
      </w:pPr>
      <w:r w:rsidRPr="009E3C49">
        <w:rPr>
          <w:rFonts w:ascii="Times New Roman" w:eastAsia="SimSun" w:hAnsi="Times New Roman" w:cs="Times New Roman"/>
          <w:bCs w:val="0"/>
          <w:kern w:val="2"/>
          <w:sz w:val="24"/>
          <w:szCs w:val="24"/>
          <w:lang w:eastAsia="zh-CN"/>
        </w:rPr>
        <w:t>Evaluation Criteria Score                      Study question</w:t>
      </w:r>
    </w:p>
    <w:p w:rsidR="00721605" w:rsidRPr="009E3C49" w:rsidRDefault="00721605" w:rsidP="00721605">
      <w:pPr>
        <w:spacing w:line="480" w:lineRule="auto"/>
        <w:jc w:val="right"/>
        <w:rPr>
          <w:rFonts w:ascii="Times New Roman" w:hAnsi="Times New Roman" w:cs="Times New Roman"/>
          <w:b/>
          <w:sz w:val="24"/>
          <w:szCs w:val="24"/>
        </w:rPr>
      </w:pPr>
    </w:p>
    <w:p w:rsidR="00721605" w:rsidRPr="009E3C49" w:rsidRDefault="00721605" w:rsidP="00721605">
      <w:pPr>
        <w:spacing w:line="480" w:lineRule="auto"/>
        <w:rPr>
          <w:rFonts w:ascii="Times New Roman" w:hAnsi="Times New Roman" w:cs="Times New Roman"/>
          <w:b/>
          <w:sz w:val="24"/>
          <w:szCs w:val="24"/>
        </w:rPr>
      </w:pPr>
      <w:r w:rsidRPr="009E3C49">
        <w:rPr>
          <w:rFonts w:ascii="Times New Roman" w:hAnsi="Times New Roman" w:cs="Times New Roman"/>
          <w:b/>
          <w:sz w:val="24"/>
          <w:szCs w:val="24"/>
        </w:rPr>
        <w:t>Study question</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1. Was the relevant background work cited to establish a foundation for the research question?</w:t>
      </w:r>
    </w:p>
    <w:p w:rsidR="00721605" w:rsidRPr="009E3C49" w:rsidRDefault="00721605" w:rsidP="00721605">
      <w:pPr>
        <w:spacing w:line="480" w:lineRule="auto"/>
        <w:rPr>
          <w:rFonts w:ascii="Times New Roman" w:hAnsi="Times New Roman" w:cs="Times New Roman"/>
          <w:b/>
          <w:sz w:val="24"/>
          <w:szCs w:val="24"/>
        </w:rPr>
      </w:pPr>
      <w:r w:rsidRPr="009E3C49">
        <w:rPr>
          <w:rFonts w:ascii="Times New Roman" w:hAnsi="Times New Roman" w:cs="Times New Roman"/>
          <w:b/>
          <w:sz w:val="24"/>
          <w:szCs w:val="24"/>
          <w:lang w:eastAsia="zh-TW"/>
        </w:rPr>
        <w:t>Study design</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2. Was a comparison group used?</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3. Was patient status at more than one time point considered?</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4. Was data collection performed prospectively?</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5. Were patients randomized to groups?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6. Were patients blinded to the extent possible?</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7. Were treatment providers blinded to the extent possible?</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8. Was an independent evaluator used to administer outcome measures?</w:t>
      </w:r>
    </w:p>
    <w:p w:rsidR="00721605" w:rsidRPr="009E3C49" w:rsidRDefault="00721605" w:rsidP="00721605">
      <w:pPr>
        <w:spacing w:line="480" w:lineRule="auto"/>
        <w:rPr>
          <w:rFonts w:ascii="Times New Roman" w:hAnsi="Times New Roman" w:cs="Times New Roman"/>
          <w:b/>
          <w:sz w:val="24"/>
          <w:szCs w:val="24"/>
        </w:rPr>
      </w:pPr>
      <w:r w:rsidRPr="009E3C49">
        <w:rPr>
          <w:rFonts w:ascii="Times New Roman" w:hAnsi="Times New Roman" w:cs="Times New Roman"/>
          <w:b/>
          <w:sz w:val="24"/>
          <w:szCs w:val="24"/>
          <w:lang w:eastAsia="zh-TW"/>
        </w:rPr>
        <w:t>Subjects</w:t>
      </w:r>
    </w:p>
    <w:p w:rsidR="00721605" w:rsidRPr="009E3C49" w:rsidRDefault="00721605" w:rsidP="00721605">
      <w:pPr>
        <w:autoSpaceDE w:val="0"/>
        <w:autoSpaceDN w:val="0"/>
        <w:adjustRightInd w:val="0"/>
        <w:spacing w:line="480" w:lineRule="auto"/>
        <w:rPr>
          <w:rFonts w:ascii="Times New Roman" w:eastAsia="PMingLiU" w:hAnsi="Times New Roman" w:cs="Times New Roman"/>
          <w:sz w:val="24"/>
          <w:szCs w:val="24"/>
          <w:lang w:eastAsia="zh-TW"/>
        </w:rPr>
      </w:pPr>
      <w:r w:rsidRPr="009E3C49">
        <w:rPr>
          <w:rFonts w:ascii="Times New Roman" w:eastAsia="PMingLiU" w:hAnsi="Times New Roman" w:cs="Times New Roman"/>
          <w:sz w:val="24"/>
          <w:szCs w:val="24"/>
          <w:lang w:eastAsia="zh-TW"/>
        </w:rPr>
        <w:t>9. Did sampling procedures minimize sample/selection biases?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10. Were inclusion/exclusion criteria defined?</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lastRenderedPageBreak/>
        <w:t>11. Was an appropriate enrollment contained?</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12. Was appropriate retention/follow-up obtained?</w:t>
      </w:r>
    </w:p>
    <w:p w:rsidR="00721605" w:rsidRPr="009E3C49" w:rsidRDefault="00721605" w:rsidP="00721605">
      <w:pPr>
        <w:spacing w:line="480" w:lineRule="auto"/>
        <w:rPr>
          <w:rFonts w:ascii="Times New Roman" w:hAnsi="Times New Roman" w:cs="Times New Roman"/>
          <w:b/>
          <w:sz w:val="24"/>
          <w:szCs w:val="24"/>
        </w:rPr>
      </w:pPr>
      <w:r w:rsidRPr="009E3C49">
        <w:rPr>
          <w:rFonts w:ascii="Times New Roman" w:hAnsi="Times New Roman" w:cs="Times New Roman"/>
          <w:b/>
          <w:sz w:val="24"/>
          <w:szCs w:val="24"/>
          <w:lang w:eastAsia="zh-TW"/>
        </w:rPr>
        <w:t>Intervention</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13. Was the intervention applied according to established principles?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14. Were biases due to the treatment provider minimized (</w:t>
      </w:r>
      <w:proofErr w:type="spellStart"/>
      <w:r w:rsidRPr="009E3C49">
        <w:rPr>
          <w:rFonts w:ascii="Times New Roman" w:eastAsia="PMingLiU" w:hAnsi="Times New Roman" w:cs="Times New Roman"/>
          <w:sz w:val="24"/>
          <w:szCs w:val="24"/>
          <w:lang w:eastAsia="zh-TW"/>
        </w:rPr>
        <w:t>ie</w:t>
      </w:r>
      <w:proofErr w:type="spellEnd"/>
      <w:r w:rsidRPr="009E3C49">
        <w:rPr>
          <w:rFonts w:ascii="Times New Roman" w:eastAsia="PMingLiU" w:hAnsi="Times New Roman" w:cs="Times New Roman"/>
          <w:sz w:val="24"/>
          <w:szCs w:val="24"/>
          <w:lang w:eastAsia="zh-TW"/>
        </w:rPr>
        <w:t xml:space="preserve"> attention, training)?</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15. Was the intervention compared to appropriate comparator?</w:t>
      </w:r>
    </w:p>
    <w:p w:rsidR="00721605" w:rsidRPr="009E3C49" w:rsidRDefault="00721605" w:rsidP="00721605">
      <w:pPr>
        <w:spacing w:line="480" w:lineRule="auto"/>
        <w:rPr>
          <w:rFonts w:ascii="Times New Roman" w:hAnsi="Times New Roman" w:cs="Times New Roman"/>
          <w:b/>
          <w:sz w:val="24"/>
          <w:szCs w:val="24"/>
        </w:rPr>
      </w:pPr>
      <w:r w:rsidRPr="009E3C49">
        <w:rPr>
          <w:rFonts w:ascii="Times New Roman" w:hAnsi="Times New Roman" w:cs="Times New Roman"/>
          <w:b/>
          <w:sz w:val="24"/>
          <w:szCs w:val="24"/>
          <w:lang w:eastAsia="zh-TW"/>
        </w:rPr>
        <w:t>Outcomes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16. Was an appropriate primary outcome defined?</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17. Were appropriate secondary outcomes considered?</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18. Was an appropriate follow-up period incorporated?</w:t>
      </w:r>
    </w:p>
    <w:p w:rsidR="00721605" w:rsidRPr="009E3C49" w:rsidRDefault="00721605" w:rsidP="00721605">
      <w:pPr>
        <w:spacing w:line="480" w:lineRule="auto"/>
        <w:rPr>
          <w:rFonts w:ascii="Times New Roman" w:hAnsi="Times New Roman" w:cs="Times New Roman"/>
          <w:b/>
          <w:sz w:val="24"/>
          <w:szCs w:val="24"/>
        </w:rPr>
      </w:pPr>
      <w:r w:rsidRPr="009E3C49">
        <w:rPr>
          <w:rFonts w:ascii="Times New Roman" w:hAnsi="Times New Roman" w:cs="Times New Roman"/>
          <w:b/>
          <w:sz w:val="24"/>
          <w:szCs w:val="24"/>
          <w:lang w:eastAsia="zh-TW"/>
        </w:rPr>
        <w:t>Analysis</w:t>
      </w:r>
    </w:p>
    <w:p w:rsidR="00721605" w:rsidRPr="009E3C49" w:rsidRDefault="00721605" w:rsidP="00721605">
      <w:pPr>
        <w:autoSpaceDE w:val="0"/>
        <w:autoSpaceDN w:val="0"/>
        <w:adjustRightInd w:val="0"/>
        <w:spacing w:line="480" w:lineRule="auto"/>
        <w:rPr>
          <w:rFonts w:ascii="Times New Roman" w:eastAsia="PMingLiU" w:hAnsi="Times New Roman" w:cs="Times New Roman"/>
          <w:sz w:val="24"/>
          <w:szCs w:val="24"/>
          <w:lang w:eastAsia="zh-TW"/>
        </w:rPr>
      </w:pPr>
      <w:r w:rsidRPr="009E3C49">
        <w:rPr>
          <w:rFonts w:ascii="Times New Roman" w:eastAsia="PMingLiU" w:hAnsi="Times New Roman" w:cs="Times New Roman"/>
          <w:sz w:val="24"/>
          <w:szCs w:val="24"/>
          <w:lang w:eastAsia="zh-TW"/>
        </w:rPr>
        <w:t>19. Was an appropriate statistical test(s) performed to indicate differences related to the intervention?</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20. Was it established that the study had significant power to identify treatment effects?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21. Was the size and significance of the effects reported?</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 xml:space="preserve">22. </w:t>
      </w:r>
      <w:proofErr w:type="spellStart"/>
      <w:r w:rsidRPr="009E3C49">
        <w:rPr>
          <w:rFonts w:ascii="Times New Roman" w:eastAsia="PMingLiU" w:hAnsi="Times New Roman" w:cs="Times New Roman"/>
          <w:sz w:val="24"/>
          <w:szCs w:val="24"/>
          <w:lang w:eastAsia="zh-TW"/>
        </w:rPr>
        <w:t>Were</w:t>
      </w:r>
      <w:proofErr w:type="spellEnd"/>
      <w:r w:rsidRPr="009E3C49">
        <w:rPr>
          <w:rFonts w:ascii="Times New Roman" w:eastAsia="PMingLiU" w:hAnsi="Times New Roman" w:cs="Times New Roman"/>
          <w:sz w:val="24"/>
          <w:szCs w:val="24"/>
          <w:lang w:eastAsia="zh-TW"/>
        </w:rPr>
        <w:t xml:space="preserve"> missing data accounted for and considered in analyses?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t>23. Were clinical and practical significance considered in interpreting results?</w:t>
      </w:r>
    </w:p>
    <w:p w:rsidR="00721605" w:rsidRPr="009E3C49" w:rsidRDefault="00721605" w:rsidP="00721605">
      <w:pPr>
        <w:spacing w:line="480" w:lineRule="auto"/>
        <w:rPr>
          <w:rFonts w:ascii="Times New Roman" w:hAnsi="Times New Roman" w:cs="Times New Roman"/>
          <w:b/>
          <w:sz w:val="24"/>
          <w:szCs w:val="24"/>
        </w:rPr>
      </w:pPr>
      <w:r w:rsidRPr="009E3C49">
        <w:rPr>
          <w:rFonts w:ascii="Times New Roman" w:hAnsi="Times New Roman" w:cs="Times New Roman"/>
          <w:b/>
          <w:sz w:val="24"/>
          <w:szCs w:val="24"/>
          <w:lang w:eastAsia="zh-TW"/>
        </w:rPr>
        <w:t>Recommendations</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r w:rsidRPr="009E3C49">
        <w:rPr>
          <w:rFonts w:ascii="Times New Roman" w:eastAsia="PMingLiU" w:hAnsi="Times New Roman" w:cs="Times New Roman"/>
          <w:sz w:val="24"/>
          <w:szCs w:val="24"/>
          <w:lang w:eastAsia="zh-TW"/>
        </w:rPr>
        <w:lastRenderedPageBreak/>
        <w:t>24. Were the conclusions/clinical recommendations supported by the study objectives, analysis, and results?</w:t>
      </w:r>
    </w:p>
    <w:p w:rsidR="00721605" w:rsidRPr="009E3C49" w:rsidRDefault="00721605" w:rsidP="00721605">
      <w:pPr>
        <w:spacing w:line="480" w:lineRule="auto"/>
        <w:rPr>
          <w:rFonts w:ascii="Times New Roman" w:hAnsi="Times New Roman" w:cs="Times New Roman"/>
          <w:b/>
          <w:sz w:val="24"/>
          <w:szCs w:val="24"/>
        </w:rPr>
      </w:pPr>
      <w:r w:rsidRPr="009E3C49">
        <w:rPr>
          <w:rFonts w:ascii="Times New Roman" w:hAnsi="Times New Roman" w:cs="Times New Roman"/>
          <w:b/>
          <w:sz w:val="24"/>
          <w:szCs w:val="24"/>
        </w:rPr>
        <w:t>Total quality score (sum of above)=</w:t>
      </w: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p>
    <w:p w:rsidR="00721605" w:rsidRPr="009E3C49" w:rsidRDefault="00721605" w:rsidP="00721605">
      <w:pPr>
        <w:autoSpaceDE w:val="0"/>
        <w:autoSpaceDN w:val="0"/>
        <w:adjustRightInd w:val="0"/>
        <w:spacing w:line="480" w:lineRule="auto"/>
        <w:rPr>
          <w:rFonts w:ascii="Times New Roman" w:hAnsi="Times New Roman" w:cs="Times New Roman"/>
          <w:sz w:val="24"/>
          <w:szCs w:val="24"/>
        </w:rPr>
      </w:pPr>
    </w:p>
    <w:p w:rsidR="00721605" w:rsidRPr="009E3C49" w:rsidRDefault="00721605" w:rsidP="00721605">
      <w:pPr>
        <w:rPr>
          <w:rFonts w:ascii="Times New Roman" w:hAnsi="Times New Roman" w:cs="Times New Roman"/>
          <w:sz w:val="24"/>
          <w:szCs w:val="24"/>
        </w:rPr>
      </w:pPr>
    </w:p>
    <w:p w:rsidR="0062671F" w:rsidRPr="009E3C49" w:rsidRDefault="0062671F" w:rsidP="001A5DF7">
      <w:pPr>
        <w:rPr>
          <w:rFonts w:ascii="Times New Roman" w:hAnsi="Times New Roman" w:cs="Times New Roman"/>
          <w:sz w:val="24"/>
          <w:szCs w:val="24"/>
        </w:rPr>
      </w:pPr>
    </w:p>
    <w:sectPr w:rsidR="0062671F" w:rsidRPr="009E3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9B037A"/>
    <w:multiLevelType w:val="hybridMultilevel"/>
    <w:tmpl w:val="3BCEC8A6"/>
    <w:lvl w:ilvl="0" w:tplc="217042E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C39"/>
    <w:rsid w:val="000312B0"/>
    <w:rsid w:val="00084BB8"/>
    <w:rsid w:val="0009718A"/>
    <w:rsid w:val="000A3C67"/>
    <w:rsid w:val="000C38A9"/>
    <w:rsid w:val="000D2A89"/>
    <w:rsid w:val="000D5A52"/>
    <w:rsid w:val="001A5DF7"/>
    <w:rsid w:val="00236966"/>
    <w:rsid w:val="00267E1B"/>
    <w:rsid w:val="0027373E"/>
    <w:rsid w:val="00281536"/>
    <w:rsid w:val="00290C16"/>
    <w:rsid w:val="00295212"/>
    <w:rsid w:val="002B4B02"/>
    <w:rsid w:val="002E4138"/>
    <w:rsid w:val="00332E8C"/>
    <w:rsid w:val="003E0BC9"/>
    <w:rsid w:val="003E5F78"/>
    <w:rsid w:val="0040053A"/>
    <w:rsid w:val="00431664"/>
    <w:rsid w:val="00437DBA"/>
    <w:rsid w:val="004600B5"/>
    <w:rsid w:val="004921C8"/>
    <w:rsid w:val="004A6B0D"/>
    <w:rsid w:val="004B7442"/>
    <w:rsid w:val="004E47D6"/>
    <w:rsid w:val="005069BA"/>
    <w:rsid w:val="005329D4"/>
    <w:rsid w:val="00577908"/>
    <w:rsid w:val="006250FD"/>
    <w:rsid w:val="0062671F"/>
    <w:rsid w:val="00682F2C"/>
    <w:rsid w:val="00692997"/>
    <w:rsid w:val="006A6608"/>
    <w:rsid w:val="00700F88"/>
    <w:rsid w:val="00705D1F"/>
    <w:rsid w:val="00714180"/>
    <w:rsid w:val="00721605"/>
    <w:rsid w:val="00745D99"/>
    <w:rsid w:val="00767D0F"/>
    <w:rsid w:val="007D47C9"/>
    <w:rsid w:val="00833699"/>
    <w:rsid w:val="00845E6D"/>
    <w:rsid w:val="008574F7"/>
    <w:rsid w:val="00873CB6"/>
    <w:rsid w:val="008A53E7"/>
    <w:rsid w:val="00912EC4"/>
    <w:rsid w:val="00974B47"/>
    <w:rsid w:val="0099512D"/>
    <w:rsid w:val="009E3C49"/>
    <w:rsid w:val="00A12071"/>
    <w:rsid w:val="00AA00C2"/>
    <w:rsid w:val="00B22898"/>
    <w:rsid w:val="00B67EB5"/>
    <w:rsid w:val="00BC1FCF"/>
    <w:rsid w:val="00BE1DAB"/>
    <w:rsid w:val="00C01BFF"/>
    <w:rsid w:val="00C057E8"/>
    <w:rsid w:val="00C805A8"/>
    <w:rsid w:val="00CA3C39"/>
    <w:rsid w:val="00CC24C6"/>
    <w:rsid w:val="00CD13C5"/>
    <w:rsid w:val="00CD3991"/>
    <w:rsid w:val="00DA78F2"/>
    <w:rsid w:val="00DD1870"/>
    <w:rsid w:val="00DD7D0C"/>
    <w:rsid w:val="00DE6B04"/>
    <w:rsid w:val="00E77214"/>
    <w:rsid w:val="00E93003"/>
    <w:rsid w:val="00EB737B"/>
    <w:rsid w:val="00EF57EF"/>
    <w:rsid w:val="00F01640"/>
    <w:rsid w:val="00F30A7A"/>
    <w:rsid w:val="00F42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721605"/>
    <w:pPr>
      <w:keepNext/>
      <w:widowControl w:val="0"/>
      <w:autoSpaceDE w:val="0"/>
      <w:autoSpaceDN w:val="0"/>
      <w:adjustRightInd w:val="0"/>
      <w:spacing w:after="0" w:line="240" w:lineRule="auto"/>
      <w:jc w:val="center"/>
      <w:outlineLvl w:val="4"/>
    </w:pPr>
    <w:rPr>
      <w:rFonts w:ascii="Times New Roman" w:eastAsia="PMingLiU" w:hAnsi="Times New Roman" w:cs="Times New Roman"/>
      <w:b/>
      <w:sz w:val="24"/>
      <w:szCs w:val="21"/>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39"/>
    <w:pPr>
      <w:ind w:left="720"/>
      <w:contextualSpacing/>
    </w:pPr>
  </w:style>
  <w:style w:type="paragraph" w:styleId="BalloonText">
    <w:name w:val="Balloon Text"/>
    <w:basedOn w:val="Normal"/>
    <w:link w:val="BalloonTextChar"/>
    <w:uiPriority w:val="99"/>
    <w:semiHidden/>
    <w:unhideWhenUsed/>
    <w:rsid w:val="0070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88"/>
    <w:rPr>
      <w:rFonts w:ascii="Tahoma" w:hAnsi="Tahoma" w:cs="Tahoma"/>
      <w:sz w:val="16"/>
      <w:szCs w:val="16"/>
    </w:rPr>
  </w:style>
  <w:style w:type="character" w:customStyle="1" w:styleId="Heading5Char">
    <w:name w:val="Heading 5 Char"/>
    <w:basedOn w:val="DefaultParagraphFont"/>
    <w:link w:val="Heading5"/>
    <w:rsid w:val="00721605"/>
    <w:rPr>
      <w:rFonts w:ascii="Times New Roman" w:eastAsia="PMingLiU" w:hAnsi="Times New Roman" w:cs="Times New Roman"/>
      <w:b/>
      <w:sz w:val="24"/>
      <w:szCs w:val="21"/>
      <w:lang w:eastAsia="zh-TW"/>
    </w:rPr>
  </w:style>
  <w:style w:type="character" w:customStyle="1" w:styleId="Heading1Char">
    <w:name w:val="Heading 1 Char"/>
    <w:basedOn w:val="DefaultParagraphFont"/>
    <w:link w:val="Heading1"/>
    <w:uiPriority w:val="9"/>
    <w:rsid w:val="0072160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16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721605"/>
    <w:pPr>
      <w:keepNext/>
      <w:widowControl w:val="0"/>
      <w:autoSpaceDE w:val="0"/>
      <w:autoSpaceDN w:val="0"/>
      <w:adjustRightInd w:val="0"/>
      <w:spacing w:after="0" w:line="240" w:lineRule="auto"/>
      <w:jc w:val="center"/>
      <w:outlineLvl w:val="4"/>
    </w:pPr>
    <w:rPr>
      <w:rFonts w:ascii="Times New Roman" w:eastAsia="PMingLiU" w:hAnsi="Times New Roman" w:cs="Times New Roman"/>
      <w:b/>
      <w:sz w:val="24"/>
      <w:szCs w:val="21"/>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39"/>
    <w:pPr>
      <w:ind w:left="720"/>
      <w:contextualSpacing/>
    </w:pPr>
  </w:style>
  <w:style w:type="paragraph" w:styleId="BalloonText">
    <w:name w:val="Balloon Text"/>
    <w:basedOn w:val="Normal"/>
    <w:link w:val="BalloonTextChar"/>
    <w:uiPriority w:val="99"/>
    <w:semiHidden/>
    <w:unhideWhenUsed/>
    <w:rsid w:val="00700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F88"/>
    <w:rPr>
      <w:rFonts w:ascii="Tahoma" w:hAnsi="Tahoma" w:cs="Tahoma"/>
      <w:sz w:val="16"/>
      <w:szCs w:val="16"/>
    </w:rPr>
  </w:style>
  <w:style w:type="character" w:customStyle="1" w:styleId="Heading5Char">
    <w:name w:val="Heading 5 Char"/>
    <w:basedOn w:val="DefaultParagraphFont"/>
    <w:link w:val="Heading5"/>
    <w:rsid w:val="00721605"/>
    <w:rPr>
      <w:rFonts w:ascii="Times New Roman" w:eastAsia="PMingLiU" w:hAnsi="Times New Roman" w:cs="Times New Roman"/>
      <w:b/>
      <w:sz w:val="24"/>
      <w:szCs w:val="21"/>
      <w:lang w:eastAsia="zh-TW"/>
    </w:rPr>
  </w:style>
  <w:style w:type="character" w:customStyle="1" w:styleId="Heading1Char">
    <w:name w:val="Heading 1 Char"/>
    <w:basedOn w:val="DefaultParagraphFont"/>
    <w:link w:val="Heading1"/>
    <w:uiPriority w:val="9"/>
    <w:rsid w:val="0072160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13</Pages>
  <Words>2691</Words>
  <Characters>15344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TempAdmin</cp:lastModifiedBy>
  <cp:revision>71</cp:revision>
  <dcterms:created xsi:type="dcterms:W3CDTF">2015-11-04T18:47:00Z</dcterms:created>
  <dcterms:modified xsi:type="dcterms:W3CDTF">2016-04-20T15:52:00Z</dcterms:modified>
</cp:coreProperties>
</file>