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0248" w14:textId="6130B919" w:rsidR="00EF5CAA" w:rsidRPr="00F118AC" w:rsidRDefault="00000000" w:rsidP="00EF5CAA">
      <w:pPr>
        <w:bidi/>
        <w:spacing w:after="120"/>
        <w:rPr>
          <w:rFonts w:asciiTheme="minorBidi" w:hAnsiTheme="minorBidi" w:cstheme="minorBidi"/>
          <w:sz w:val="24"/>
          <w:rtl/>
          <w:lang w:bidi="ar-EG"/>
        </w:rPr>
      </w:pPr>
      <w:r w:rsidRPr="00F118AC">
        <w:rPr>
          <w:rFonts w:asciiTheme="minorBidi" w:eastAsia="Arial" w:hAnsiTheme="minorBidi" w:cstheme="minorBidi"/>
          <w:sz w:val="24"/>
          <w:szCs w:val="24"/>
          <w:rtl/>
        </w:rPr>
        <w:t xml:space="preserve">صحيفة معلومات إلغاء تنشيط حساب لدى </w:t>
      </w:r>
      <w:r w:rsidR="00F55948" w:rsidRPr="00F118AC">
        <w:rPr>
          <w:rFonts w:asciiTheme="minorBidi" w:eastAsia="Arial" w:hAnsiTheme="minorBidi" w:cstheme="minorBidi"/>
          <w:sz w:val="24"/>
          <w:szCs w:val="24"/>
          <w:rtl/>
        </w:rPr>
        <w:t>Spark</w:t>
      </w:r>
      <w:r w:rsidR="00F55948" w:rsidRPr="00F118AC">
        <w:rPr>
          <w:rFonts w:asciiTheme="minorBidi" w:eastAsia="Arial" w:hAnsiTheme="minorBidi" w:cstheme="minorBidi"/>
          <w:sz w:val="24"/>
          <w:szCs w:val="24"/>
          <w:rtl/>
          <w:lang w:bidi="ar-EG"/>
        </w:rPr>
        <w:t xml:space="preserve"> - </w:t>
      </w:r>
      <w:r w:rsidR="00F55948" w:rsidRPr="00F118AC">
        <w:rPr>
          <w:rFonts w:asciiTheme="minorBidi" w:eastAsia="Arial" w:hAnsiTheme="minorBidi" w:cstheme="minorBidi"/>
          <w:sz w:val="24"/>
          <w:szCs w:val="24"/>
          <w:rtl/>
        </w:rPr>
        <w:t>11 12 24</w:t>
      </w:r>
    </w:p>
    <w:p w14:paraId="3499B8FB" w14:textId="77777777" w:rsidR="00EF5CAA" w:rsidRPr="00F118AC" w:rsidRDefault="00000000" w:rsidP="002A1AB3">
      <w:pPr>
        <w:bidi/>
        <w:spacing w:before="240"/>
        <w:rPr>
          <w:rFonts w:asciiTheme="minorBidi" w:hAnsiTheme="minorBidi" w:cstheme="minorBidi"/>
          <w:b/>
          <w:sz w:val="24"/>
          <w:rtl/>
        </w:rPr>
      </w:pPr>
      <w:r w:rsidRPr="00F118AC">
        <w:rPr>
          <w:rFonts w:asciiTheme="minorBidi" w:eastAsia="Arial" w:hAnsiTheme="minorBidi" w:cstheme="minorBidi"/>
          <w:b/>
          <w:bCs/>
          <w:sz w:val="24"/>
          <w:szCs w:val="24"/>
          <w:rtl/>
        </w:rPr>
        <w:t>صحيفة معلومات إلغاء تنشيط حساب سائقي Spark</w:t>
      </w:r>
    </w:p>
    <w:p w14:paraId="6AC75D8B" w14:textId="5F8A6A18" w:rsidR="00A850E1" w:rsidRPr="00F118AC" w:rsidRDefault="00000000" w:rsidP="002A1AB3">
      <w:pPr>
        <w:bidi/>
        <w:spacing w:before="240"/>
        <w:rPr>
          <w:rFonts w:asciiTheme="minorBidi" w:hAnsiTheme="minorBidi" w:cstheme="minorBidi"/>
          <w:b/>
          <w:sz w:val="24"/>
          <w:rtl/>
        </w:rPr>
      </w:pPr>
      <w:r w:rsidRPr="00F118AC">
        <w:rPr>
          <w:rFonts w:asciiTheme="minorBidi" w:eastAsia="Arial" w:hAnsiTheme="minorBidi" w:cstheme="minorBidi"/>
          <w:b/>
          <w:bCs/>
          <w:sz w:val="24"/>
          <w:szCs w:val="24"/>
          <w:rtl/>
        </w:rPr>
        <w:t>مقدمة</w:t>
      </w:r>
    </w:p>
    <w:p w14:paraId="7D5C9753" w14:textId="77777777" w:rsidR="00A850E1" w:rsidRPr="00F118AC" w:rsidRDefault="00000000" w:rsidP="00BC52CF">
      <w:pPr>
        <w:pStyle w:val="BodyText"/>
        <w:bidi/>
        <w:spacing w:before="240"/>
        <w:ind w:left="0" w:firstLine="0"/>
        <w:rPr>
          <w:rFonts w:asciiTheme="minorBidi" w:hAnsiTheme="minorBidi" w:cstheme="minorBidi"/>
          <w:rtl/>
        </w:rPr>
      </w:pPr>
      <w:r w:rsidRPr="00F118AC">
        <w:rPr>
          <w:rFonts w:asciiTheme="minorBidi" w:eastAsia="Arial" w:hAnsiTheme="minorBidi" w:cstheme="minorBidi"/>
          <w:rtl/>
        </w:rPr>
        <w:t>تُمثل هذه الوثيقة بياناً تفصيلياً للمسوغات التي قد تؤدي إلى إلغاء تنشيط حساب السائق على منصة Spark Driver. تُعدُّ هذه الوثيقة بمثابة دليل استرشادي عام؛ إذ يتضمن العقد وشروط استخدام التطبيق ("العقد") كافة الالتزامات المتعلقة بتقديم الخدمات والاستخدام المشروع لتطبيق Spark ("التطبيق"). يمكن للسائقين الاطلاع على نص العقد من خلال القائمة الرئيسية للتطبيق.</w:t>
      </w:r>
    </w:p>
    <w:p w14:paraId="642658D7" w14:textId="77777777" w:rsidR="00A850E1" w:rsidRPr="00F118AC" w:rsidRDefault="00000000" w:rsidP="00EF5CAA">
      <w:pPr>
        <w:pStyle w:val="Heading1"/>
        <w:bidi/>
        <w:spacing w:before="240"/>
        <w:ind w:left="0"/>
        <w:rPr>
          <w:rFonts w:asciiTheme="minorBidi" w:hAnsiTheme="minorBidi" w:cstheme="minorBidi"/>
          <w:rtl/>
        </w:rPr>
      </w:pPr>
      <w:r w:rsidRPr="00F118AC">
        <w:rPr>
          <w:rFonts w:asciiTheme="minorBidi" w:eastAsia="Arial" w:hAnsiTheme="minorBidi" w:cstheme="minorBidi"/>
          <w:rtl/>
        </w:rPr>
        <w:t>نظرة عامة على إلغاء تنشيط الحساب</w:t>
      </w:r>
    </w:p>
    <w:p w14:paraId="46F23A83" w14:textId="3B2A49E1" w:rsidR="00A850E1" w:rsidRPr="00F118AC" w:rsidRDefault="00000000" w:rsidP="00DD7641">
      <w:pPr>
        <w:pStyle w:val="BodyText"/>
        <w:bidi/>
        <w:spacing w:before="240"/>
        <w:ind w:left="0" w:firstLine="0"/>
        <w:rPr>
          <w:rFonts w:asciiTheme="minorBidi" w:hAnsiTheme="minorBidi" w:cstheme="minorBidi"/>
          <w:rtl/>
        </w:rPr>
      </w:pPr>
      <w:r w:rsidRPr="00F118AC">
        <w:rPr>
          <w:rFonts w:asciiTheme="minorBidi" w:eastAsia="Arial" w:hAnsiTheme="minorBidi" w:cstheme="minorBidi"/>
          <w:rtl/>
        </w:rPr>
        <w:t>يتعين على السائقين الالتزام التام بالمتطلبات المنصوص عليها في عقودهم والتي سبق لهم الإقرار بها. قد يترتب على مخالفة بنود العقد، أو التقصير في أداء الالتزامات المتعلقة بتقديم الخدمات، و/أو إساءة استخدام التطبيق إلغاء تنشيط الحساب على المنصة. يتم إشعار السائقين الذين يثبت ارتكابهم مخالفات للعقد فور صدور قرار إلغاء تنشيط حساباتهم.</w:t>
      </w:r>
    </w:p>
    <w:p w14:paraId="55BB9AC4" w14:textId="77777777" w:rsidR="00A850E1" w:rsidRPr="00F118AC" w:rsidRDefault="00000000" w:rsidP="00BC52CF">
      <w:pPr>
        <w:pStyle w:val="Heading1"/>
        <w:bidi/>
        <w:spacing w:before="240"/>
        <w:ind w:left="0"/>
        <w:rPr>
          <w:rFonts w:asciiTheme="minorBidi" w:hAnsiTheme="minorBidi" w:cstheme="minorBidi"/>
          <w:rtl/>
        </w:rPr>
      </w:pPr>
      <w:r w:rsidRPr="00F118AC">
        <w:rPr>
          <w:rFonts w:asciiTheme="minorBidi" w:eastAsia="Arial" w:hAnsiTheme="minorBidi" w:cstheme="minorBidi"/>
          <w:rtl/>
        </w:rPr>
        <w:t>تفاصيل إلغاء تنشيط الحساب</w:t>
      </w:r>
    </w:p>
    <w:p w14:paraId="192D2F9E" w14:textId="77777777" w:rsidR="00A850E1" w:rsidRPr="00F118AC" w:rsidRDefault="00000000" w:rsidP="00BC52CF">
      <w:pPr>
        <w:pStyle w:val="BodyText"/>
        <w:bidi/>
        <w:spacing w:before="240"/>
        <w:ind w:left="0" w:firstLine="0"/>
        <w:rPr>
          <w:rFonts w:asciiTheme="minorBidi" w:hAnsiTheme="minorBidi" w:cstheme="minorBidi"/>
          <w:rtl/>
        </w:rPr>
      </w:pPr>
      <w:r w:rsidRPr="00F118AC">
        <w:rPr>
          <w:rFonts w:asciiTheme="minorBidi" w:eastAsia="Arial" w:hAnsiTheme="minorBidi" w:cstheme="minorBidi"/>
          <w:rtl/>
        </w:rPr>
        <w:t>فيما يلي أمثلة للأسباب الموجبة لإلغاء تنشيط حسابات السائقين لمخالفة العقد، والتي تشمل على سبيل المثال لا الحصر:</w:t>
      </w:r>
    </w:p>
    <w:p w14:paraId="75886EC7" w14:textId="77777777" w:rsidR="00A850E1" w:rsidRPr="00F118AC" w:rsidRDefault="00000000" w:rsidP="00BC52CF">
      <w:pPr>
        <w:pStyle w:val="BodyText"/>
        <w:bidi/>
        <w:spacing w:before="240"/>
        <w:ind w:left="0" w:firstLine="0"/>
        <w:rPr>
          <w:rFonts w:asciiTheme="minorBidi" w:hAnsiTheme="minorBidi" w:cstheme="minorBidi"/>
          <w:u w:val="single"/>
          <w:rtl/>
        </w:rPr>
      </w:pPr>
      <w:r w:rsidRPr="00F118AC">
        <w:rPr>
          <w:rFonts w:asciiTheme="minorBidi" w:eastAsia="Arial" w:hAnsiTheme="minorBidi" w:cstheme="minorBidi"/>
          <w:u w:val="single"/>
          <w:rtl/>
        </w:rPr>
        <w:t>الأهلية</w:t>
      </w:r>
    </w:p>
    <w:p w14:paraId="0E0EB2D8" w14:textId="77777777" w:rsidR="00A850E1" w:rsidRPr="00F118AC" w:rsidRDefault="00000000" w:rsidP="00BC52CF">
      <w:pPr>
        <w:pStyle w:val="ListParagraph"/>
        <w:numPr>
          <w:ilvl w:val="0"/>
          <w:numId w:val="1"/>
        </w:numPr>
        <w:tabs>
          <w:tab w:val="left" w:pos="350"/>
        </w:tabs>
        <w:bidi/>
        <w:spacing w:before="240"/>
        <w:ind w:left="306" w:firstLine="0"/>
        <w:rPr>
          <w:rFonts w:asciiTheme="minorBidi" w:hAnsiTheme="minorBidi" w:cstheme="minorBidi"/>
          <w:sz w:val="24"/>
          <w:rtl/>
        </w:rPr>
      </w:pPr>
      <w:r w:rsidRPr="00F118AC">
        <w:rPr>
          <w:rFonts w:asciiTheme="minorBidi" w:eastAsia="Arial" w:hAnsiTheme="minorBidi" w:cstheme="minorBidi"/>
          <w:sz w:val="24"/>
          <w:szCs w:val="24"/>
          <w:rtl/>
        </w:rPr>
        <w:t>الإخلال بمعايير الأهلية المقررة للمنصة أو عدم استيفائها.</w:t>
      </w:r>
    </w:p>
    <w:p w14:paraId="64EFC755" w14:textId="77777777" w:rsidR="00A850E1" w:rsidRPr="00F118AC" w:rsidRDefault="00000000" w:rsidP="00BC52CF">
      <w:pPr>
        <w:pStyle w:val="ListParagraph"/>
        <w:numPr>
          <w:ilvl w:val="0"/>
          <w:numId w:val="1"/>
        </w:numPr>
        <w:tabs>
          <w:tab w:val="left" w:pos="709"/>
        </w:tabs>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تقديم بيانات شخصية مغلوطة و/أو غير صحيحة، كرقم الضمان الاجتماعي أو بيانات وثيقة التأمين.</w:t>
      </w:r>
    </w:p>
    <w:p w14:paraId="5DBEF0ED" w14:textId="77777777" w:rsidR="00A850E1" w:rsidRPr="00F118AC" w:rsidRDefault="00000000" w:rsidP="00BC52CF">
      <w:pPr>
        <w:pStyle w:val="ListParagraph"/>
        <w:numPr>
          <w:ilvl w:val="0"/>
          <w:numId w:val="1"/>
        </w:numPr>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التقاعس عن تحديث المستندات الإلزامية، كوثيقة التأمين أو رخصة القيادة.</w:t>
      </w:r>
    </w:p>
    <w:p w14:paraId="012DA744" w14:textId="77777777" w:rsidR="00A850E1" w:rsidRPr="00F118AC" w:rsidRDefault="00000000" w:rsidP="00BC52CF">
      <w:pPr>
        <w:pStyle w:val="ListParagraph"/>
        <w:numPr>
          <w:ilvl w:val="0"/>
          <w:numId w:val="1"/>
        </w:numPr>
        <w:tabs>
          <w:tab w:val="left" w:pos="350"/>
        </w:tabs>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عدم اجتياز التدقيق الأمني، بما في ذلك سجل المركبات والسجل الجنائي (وفقاً للأنظمة المرعية).</w:t>
      </w:r>
    </w:p>
    <w:p w14:paraId="4F769626" w14:textId="77777777" w:rsidR="00A850E1" w:rsidRPr="00F118AC" w:rsidRDefault="00000000" w:rsidP="00BC52CF">
      <w:pPr>
        <w:pStyle w:val="ListParagraph"/>
        <w:numPr>
          <w:ilvl w:val="0"/>
          <w:numId w:val="1"/>
        </w:numPr>
        <w:tabs>
          <w:tab w:val="left" w:pos="350"/>
        </w:tabs>
        <w:bidi/>
        <w:spacing w:before="60"/>
        <w:ind w:left="306" w:firstLine="0"/>
        <w:rPr>
          <w:rFonts w:asciiTheme="minorBidi" w:hAnsiTheme="minorBidi" w:cstheme="minorBidi"/>
          <w:sz w:val="24"/>
          <w:rtl/>
        </w:rPr>
      </w:pPr>
      <w:r w:rsidRPr="00F118AC">
        <w:rPr>
          <w:rFonts w:asciiTheme="minorBidi" w:eastAsia="Arial" w:hAnsiTheme="minorBidi" w:cstheme="minorBidi"/>
          <w:sz w:val="24"/>
          <w:szCs w:val="24"/>
          <w:rtl/>
        </w:rPr>
        <w:t>عدم اجتياز إجراءات التحقق من الهوية.</w:t>
      </w:r>
    </w:p>
    <w:p w14:paraId="136AFD5C" w14:textId="77777777" w:rsidR="00A850E1" w:rsidRPr="00F118AC" w:rsidRDefault="00000000" w:rsidP="00BC52CF">
      <w:pPr>
        <w:pStyle w:val="ListParagraph"/>
        <w:numPr>
          <w:ilvl w:val="0"/>
          <w:numId w:val="1"/>
        </w:numPr>
        <w:tabs>
          <w:tab w:val="left" w:pos="364"/>
        </w:tabs>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صدور قرار بالمنع من دخول متاجر Walmart أو Sam’s Club أو المواقع الأخرى المخصصة لتقديم الخدمات.</w:t>
      </w:r>
    </w:p>
    <w:p w14:paraId="0A86714A" w14:textId="77777777" w:rsidR="00A850E1" w:rsidRPr="00F118AC" w:rsidRDefault="00000000" w:rsidP="00BC52CF">
      <w:pPr>
        <w:pStyle w:val="BodyText"/>
        <w:bidi/>
        <w:spacing w:before="240"/>
        <w:ind w:left="0" w:firstLine="0"/>
        <w:rPr>
          <w:rFonts w:asciiTheme="minorBidi" w:hAnsiTheme="minorBidi" w:cstheme="minorBidi"/>
          <w:u w:val="single"/>
          <w:rtl/>
        </w:rPr>
      </w:pPr>
      <w:r w:rsidRPr="00F118AC">
        <w:rPr>
          <w:rFonts w:asciiTheme="minorBidi" w:eastAsia="Arial" w:hAnsiTheme="minorBidi" w:cstheme="minorBidi"/>
          <w:u w:val="single"/>
          <w:rtl/>
        </w:rPr>
        <w:t>معايير مستوى الخدمة</w:t>
      </w:r>
    </w:p>
    <w:p w14:paraId="62B4E691" w14:textId="77777777" w:rsidR="00A850E1" w:rsidRPr="00F118AC" w:rsidRDefault="00000000" w:rsidP="00BC52CF">
      <w:pPr>
        <w:pStyle w:val="ListParagraph"/>
        <w:numPr>
          <w:ilvl w:val="0"/>
          <w:numId w:val="1"/>
        </w:numPr>
        <w:tabs>
          <w:tab w:val="left" w:pos="350"/>
        </w:tabs>
        <w:bidi/>
        <w:spacing w:before="240"/>
        <w:ind w:left="306" w:firstLine="0"/>
        <w:rPr>
          <w:rFonts w:asciiTheme="minorBidi" w:hAnsiTheme="minorBidi" w:cstheme="minorBidi"/>
          <w:sz w:val="24"/>
          <w:rtl/>
        </w:rPr>
      </w:pPr>
      <w:r w:rsidRPr="00F118AC">
        <w:rPr>
          <w:rFonts w:asciiTheme="minorBidi" w:eastAsia="Arial" w:hAnsiTheme="minorBidi" w:cstheme="minorBidi"/>
          <w:sz w:val="24"/>
          <w:szCs w:val="24"/>
          <w:rtl/>
        </w:rPr>
        <w:t>عدم تلبية معايير مستوى الخدمة.</w:t>
      </w:r>
    </w:p>
    <w:p w14:paraId="50FE3BD7" w14:textId="77777777" w:rsidR="00A850E1" w:rsidRPr="00F118AC" w:rsidRDefault="00000000" w:rsidP="00BC52CF">
      <w:pPr>
        <w:pStyle w:val="ListParagraph"/>
        <w:numPr>
          <w:ilvl w:val="0"/>
          <w:numId w:val="1"/>
        </w:numPr>
        <w:tabs>
          <w:tab w:val="left" w:pos="350"/>
        </w:tabs>
        <w:bidi/>
        <w:spacing w:before="39"/>
        <w:ind w:left="306" w:firstLine="0"/>
        <w:rPr>
          <w:rFonts w:asciiTheme="minorBidi" w:hAnsiTheme="minorBidi" w:cstheme="minorBidi"/>
          <w:sz w:val="24"/>
          <w:rtl/>
        </w:rPr>
      </w:pPr>
      <w:r w:rsidRPr="00F118AC">
        <w:rPr>
          <w:rFonts w:asciiTheme="minorBidi" w:eastAsia="Arial" w:hAnsiTheme="minorBidi" w:cstheme="minorBidi"/>
          <w:sz w:val="24"/>
          <w:szCs w:val="24"/>
          <w:rtl/>
        </w:rPr>
        <w:t>تعطيل أو التسبب في تعطيل سير العمل أثناء تقديم الخدمات.</w:t>
      </w:r>
    </w:p>
    <w:p w14:paraId="444A87EA" w14:textId="77777777" w:rsidR="00A850E1" w:rsidRPr="00F118AC" w:rsidRDefault="00000000" w:rsidP="00BC52CF">
      <w:pPr>
        <w:pStyle w:val="ListParagraph"/>
        <w:numPr>
          <w:ilvl w:val="0"/>
          <w:numId w:val="1"/>
        </w:numPr>
        <w:tabs>
          <w:tab w:val="left" w:pos="350"/>
        </w:tabs>
        <w:bidi/>
        <w:spacing w:before="40"/>
        <w:ind w:left="306" w:firstLine="0"/>
        <w:rPr>
          <w:rFonts w:asciiTheme="minorBidi" w:hAnsiTheme="minorBidi" w:cstheme="minorBidi"/>
          <w:sz w:val="24"/>
          <w:rtl/>
        </w:rPr>
      </w:pPr>
      <w:r w:rsidRPr="00F118AC">
        <w:rPr>
          <w:rFonts w:asciiTheme="minorBidi" w:eastAsia="Arial" w:hAnsiTheme="minorBidi" w:cstheme="minorBidi"/>
          <w:sz w:val="24"/>
          <w:szCs w:val="24"/>
          <w:rtl/>
        </w:rPr>
        <w:t>محاولة مغادرة موقع العمل دون سداد قيمة المشتريات.</w:t>
      </w:r>
    </w:p>
    <w:p w14:paraId="7A4CE98E" w14:textId="77777777" w:rsidR="00A850E1" w:rsidRPr="00F118AC" w:rsidRDefault="00A850E1" w:rsidP="00346D23">
      <w:pPr>
        <w:spacing w:before="40"/>
        <w:rPr>
          <w:rFonts w:asciiTheme="minorBidi" w:hAnsiTheme="minorBidi" w:cstheme="minorBidi"/>
          <w:sz w:val="24"/>
          <w:rtl/>
        </w:rPr>
      </w:pPr>
    </w:p>
    <w:p w14:paraId="73A8ECB6" w14:textId="77777777" w:rsidR="00A850E1" w:rsidRPr="00F118AC" w:rsidRDefault="00000000" w:rsidP="00BC52CF">
      <w:pPr>
        <w:pStyle w:val="BodyText"/>
        <w:bidi/>
        <w:spacing w:before="120"/>
        <w:ind w:left="0" w:firstLine="0"/>
        <w:rPr>
          <w:rFonts w:asciiTheme="minorBidi" w:hAnsiTheme="minorBidi" w:cstheme="minorBidi"/>
          <w:u w:val="single"/>
          <w:rtl/>
        </w:rPr>
      </w:pPr>
      <w:r w:rsidRPr="00F118AC">
        <w:rPr>
          <w:rFonts w:asciiTheme="minorBidi" w:eastAsia="Arial" w:hAnsiTheme="minorBidi" w:cstheme="minorBidi"/>
          <w:u w:val="single"/>
          <w:rtl/>
        </w:rPr>
        <w:t>النشاط الإجرامي والتمييز والمضايقات والانتقام</w:t>
      </w:r>
    </w:p>
    <w:p w14:paraId="328DF356" w14:textId="77777777" w:rsidR="00A850E1" w:rsidRPr="00F118AC" w:rsidRDefault="00000000" w:rsidP="00BC52CF">
      <w:pPr>
        <w:pStyle w:val="ListParagraph"/>
        <w:numPr>
          <w:ilvl w:val="0"/>
          <w:numId w:val="1"/>
        </w:numPr>
        <w:tabs>
          <w:tab w:val="left" w:pos="700"/>
        </w:tabs>
        <w:bidi/>
        <w:spacing w:before="240"/>
        <w:ind w:left="697" w:hanging="391"/>
        <w:rPr>
          <w:rFonts w:asciiTheme="minorBidi" w:hAnsiTheme="minorBidi" w:cstheme="minorBidi"/>
          <w:sz w:val="24"/>
          <w:rtl/>
        </w:rPr>
      </w:pPr>
      <w:r w:rsidRPr="00F118AC">
        <w:rPr>
          <w:rFonts w:asciiTheme="minorBidi" w:eastAsia="Arial" w:hAnsiTheme="minorBidi" w:cstheme="minorBidi"/>
          <w:sz w:val="24"/>
          <w:szCs w:val="24"/>
          <w:rtl/>
        </w:rPr>
        <w:t>ممارسة أي شكل من أشكال التمييز، أو المضايقات، أو الانتقام، أو السلوك التهديدي، بما في ذلك تجاه موظفي Walmart في المتاجر أو مراكز الاتصال، والعملاء، والمتعاقدين المستقلين الآخرين.</w:t>
      </w:r>
    </w:p>
    <w:p w14:paraId="0ABCEF68" w14:textId="77777777" w:rsidR="00A850E1" w:rsidRPr="00F118AC" w:rsidRDefault="00000000" w:rsidP="00BC52CF">
      <w:pPr>
        <w:pStyle w:val="ListParagraph"/>
        <w:numPr>
          <w:ilvl w:val="0"/>
          <w:numId w:val="1"/>
        </w:numPr>
        <w:tabs>
          <w:tab w:val="left" w:pos="822"/>
        </w:tabs>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ارتكاب أفعال إجرامية، أو غير مشروعة، و/أو غير مهنية فيما يتصل بتقديم الخدمات.</w:t>
      </w:r>
    </w:p>
    <w:p w14:paraId="0D390F00" w14:textId="77777777" w:rsidR="00A850E1" w:rsidRPr="00F118AC" w:rsidRDefault="00000000" w:rsidP="00BC52CF">
      <w:pPr>
        <w:pStyle w:val="ListParagraph"/>
        <w:numPr>
          <w:ilvl w:val="0"/>
          <w:numId w:val="1"/>
        </w:numPr>
        <w:tabs>
          <w:tab w:val="left" w:pos="822"/>
        </w:tabs>
        <w:bidi/>
        <w:spacing w:before="60"/>
        <w:ind w:left="697" w:hanging="391"/>
        <w:rPr>
          <w:rFonts w:asciiTheme="minorBidi" w:hAnsiTheme="minorBidi" w:cstheme="minorBidi"/>
          <w:sz w:val="24"/>
          <w:rtl/>
        </w:rPr>
      </w:pPr>
      <w:r w:rsidRPr="00F118AC">
        <w:rPr>
          <w:rFonts w:asciiTheme="minorBidi" w:eastAsia="Arial" w:hAnsiTheme="minorBidi" w:cstheme="minorBidi"/>
          <w:sz w:val="24"/>
          <w:szCs w:val="24"/>
          <w:rtl/>
        </w:rPr>
        <w:t>التسبب في إصابة أو محاولة إصابة أي شخص أو إلحاق ضرر بأي ممتلكات فيما يتصل بتقديم الخدمات.</w:t>
      </w:r>
    </w:p>
    <w:p w14:paraId="6101188A" w14:textId="77777777" w:rsidR="00A850E1" w:rsidRPr="00F118AC" w:rsidRDefault="00000000" w:rsidP="000D0E13">
      <w:pPr>
        <w:pStyle w:val="ListParagraph"/>
        <w:numPr>
          <w:ilvl w:val="0"/>
          <w:numId w:val="1"/>
        </w:numPr>
        <w:tabs>
          <w:tab w:val="left" w:pos="728"/>
        </w:tabs>
        <w:bidi/>
        <w:spacing w:before="60"/>
        <w:ind w:left="306" w:firstLine="0"/>
        <w:rPr>
          <w:rFonts w:asciiTheme="minorBidi" w:hAnsiTheme="minorBidi" w:cstheme="minorBidi"/>
          <w:sz w:val="24"/>
          <w:rtl/>
        </w:rPr>
      </w:pPr>
      <w:r w:rsidRPr="00F118AC">
        <w:rPr>
          <w:rFonts w:asciiTheme="minorBidi" w:eastAsia="Arial" w:hAnsiTheme="minorBidi" w:cstheme="minorBidi"/>
          <w:sz w:val="24"/>
          <w:szCs w:val="24"/>
          <w:rtl/>
        </w:rPr>
        <w:t>حمل السلاح بشكل غير مشروع و/أو إظهاره أثناء تأدية الخدمات.</w:t>
      </w:r>
    </w:p>
    <w:p w14:paraId="0217400D" w14:textId="77777777" w:rsidR="00A850E1" w:rsidRPr="00F118AC" w:rsidRDefault="00000000" w:rsidP="00BE7ED0">
      <w:pPr>
        <w:pStyle w:val="BodyText"/>
        <w:bidi/>
        <w:spacing w:before="240"/>
        <w:ind w:left="0" w:firstLine="0"/>
        <w:rPr>
          <w:rFonts w:asciiTheme="minorBidi" w:hAnsiTheme="minorBidi" w:cstheme="minorBidi"/>
          <w:u w:val="single"/>
          <w:rtl/>
        </w:rPr>
      </w:pPr>
      <w:r w:rsidRPr="00F118AC">
        <w:rPr>
          <w:rFonts w:asciiTheme="minorBidi" w:eastAsia="Arial" w:hAnsiTheme="minorBidi" w:cstheme="minorBidi"/>
          <w:u w:val="single"/>
          <w:rtl/>
        </w:rPr>
        <w:lastRenderedPageBreak/>
        <w:t>التأمين</w:t>
      </w:r>
    </w:p>
    <w:p w14:paraId="5100E500" w14:textId="77777777" w:rsidR="00A850E1" w:rsidRPr="00F118AC" w:rsidRDefault="00000000" w:rsidP="000D0E13">
      <w:pPr>
        <w:pStyle w:val="ListParagraph"/>
        <w:numPr>
          <w:ilvl w:val="0"/>
          <w:numId w:val="1"/>
        </w:numPr>
        <w:tabs>
          <w:tab w:val="left" w:pos="686"/>
        </w:tabs>
        <w:bidi/>
        <w:spacing w:before="240"/>
        <w:ind w:left="306" w:firstLine="0"/>
        <w:rPr>
          <w:rFonts w:asciiTheme="minorBidi" w:hAnsiTheme="minorBidi" w:cstheme="minorBidi"/>
          <w:sz w:val="24"/>
          <w:rtl/>
        </w:rPr>
      </w:pPr>
      <w:r w:rsidRPr="00F118AC">
        <w:rPr>
          <w:rFonts w:asciiTheme="minorBidi" w:eastAsia="Arial" w:hAnsiTheme="minorBidi" w:cstheme="minorBidi"/>
          <w:sz w:val="24"/>
          <w:szCs w:val="24"/>
          <w:rtl/>
        </w:rPr>
        <w:t>عدم الاحتفاظ بتأمين المركبات المطلوب.</w:t>
      </w:r>
    </w:p>
    <w:p w14:paraId="2A5E0646" w14:textId="77777777" w:rsidR="00A850E1" w:rsidRPr="00F118AC" w:rsidRDefault="00000000" w:rsidP="000D0E13">
      <w:pPr>
        <w:pStyle w:val="ListParagraph"/>
        <w:numPr>
          <w:ilvl w:val="0"/>
          <w:numId w:val="1"/>
        </w:numPr>
        <w:tabs>
          <w:tab w:val="left" w:pos="822"/>
        </w:tabs>
        <w:bidi/>
        <w:spacing w:before="100"/>
        <w:ind w:left="697" w:hanging="391"/>
        <w:rPr>
          <w:rFonts w:asciiTheme="minorBidi" w:hAnsiTheme="minorBidi" w:cstheme="minorBidi"/>
          <w:sz w:val="24"/>
          <w:rtl/>
        </w:rPr>
      </w:pPr>
      <w:r w:rsidRPr="00F118AC">
        <w:rPr>
          <w:rFonts w:asciiTheme="minorBidi" w:eastAsia="Arial" w:hAnsiTheme="minorBidi" w:cstheme="minorBidi"/>
          <w:sz w:val="24"/>
          <w:szCs w:val="24"/>
          <w:rtl/>
        </w:rPr>
        <w:t>التقاعس عن إخطار شركة التأمين فوراً بأي مطالبات ضدك تتعلق بتقديم خدماتك و/أو عدم التعاون في التحقيق في الحوادث أو مطالبات التأمين.</w:t>
      </w:r>
    </w:p>
    <w:p w14:paraId="74236AAB" w14:textId="77777777" w:rsidR="00A850E1" w:rsidRPr="00F118AC" w:rsidRDefault="00000000" w:rsidP="000D0E13">
      <w:pPr>
        <w:pStyle w:val="BodyText"/>
        <w:bidi/>
        <w:spacing w:before="240"/>
        <w:ind w:left="0" w:firstLine="0"/>
        <w:rPr>
          <w:rFonts w:asciiTheme="minorBidi" w:hAnsiTheme="minorBidi" w:cstheme="minorBidi"/>
          <w:u w:val="single"/>
          <w:rtl/>
        </w:rPr>
      </w:pPr>
      <w:r w:rsidRPr="00F118AC">
        <w:rPr>
          <w:rFonts w:asciiTheme="minorBidi" w:eastAsia="Arial" w:hAnsiTheme="minorBidi" w:cstheme="minorBidi"/>
          <w:u w:val="single"/>
          <w:rtl/>
        </w:rPr>
        <w:t>الامتثال</w:t>
      </w:r>
    </w:p>
    <w:p w14:paraId="0DC007A7" w14:textId="77777777" w:rsidR="00A850E1" w:rsidRPr="00F118AC" w:rsidRDefault="00000000" w:rsidP="000D0E13">
      <w:pPr>
        <w:pStyle w:val="ListParagraph"/>
        <w:numPr>
          <w:ilvl w:val="0"/>
          <w:numId w:val="1"/>
        </w:numPr>
        <w:tabs>
          <w:tab w:val="left" w:pos="822"/>
        </w:tabs>
        <w:bidi/>
        <w:spacing w:before="240"/>
        <w:ind w:left="697" w:hanging="391"/>
        <w:rPr>
          <w:rFonts w:asciiTheme="minorBidi" w:hAnsiTheme="minorBidi" w:cstheme="minorBidi"/>
          <w:sz w:val="24"/>
          <w:rtl/>
        </w:rPr>
      </w:pPr>
      <w:r w:rsidRPr="00F118AC">
        <w:rPr>
          <w:rFonts w:asciiTheme="minorBidi" w:eastAsia="Arial" w:hAnsiTheme="minorBidi" w:cstheme="minorBidi"/>
          <w:sz w:val="24"/>
          <w:szCs w:val="24"/>
          <w:rtl/>
        </w:rPr>
        <w:t>الإخفاق في تلبية متطلبات الامتثال، بما في ذلك ما يتعلق بتأمين الطلبات، وتسليم البضائع المحظورة، و/أو حماية الخصوصية.</w:t>
      </w:r>
    </w:p>
    <w:p w14:paraId="1AF249F1" w14:textId="77777777" w:rsidR="00A850E1" w:rsidRPr="00F118AC" w:rsidRDefault="00000000" w:rsidP="000D0E13">
      <w:pPr>
        <w:pStyle w:val="ListParagraph"/>
        <w:numPr>
          <w:ilvl w:val="0"/>
          <w:numId w:val="1"/>
        </w:numPr>
        <w:tabs>
          <w:tab w:val="left" w:pos="822"/>
        </w:tabs>
        <w:bidi/>
        <w:spacing w:before="100"/>
        <w:ind w:left="697" w:hanging="391"/>
        <w:rPr>
          <w:rFonts w:asciiTheme="minorBidi" w:hAnsiTheme="minorBidi" w:cstheme="minorBidi"/>
          <w:sz w:val="24"/>
          <w:rtl/>
        </w:rPr>
      </w:pPr>
      <w:r w:rsidRPr="00F118AC">
        <w:rPr>
          <w:rFonts w:asciiTheme="minorBidi" w:eastAsia="Arial" w:hAnsiTheme="minorBidi" w:cstheme="minorBidi"/>
          <w:sz w:val="24"/>
          <w:szCs w:val="24"/>
          <w:rtl/>
        </w:rPr>
        <w:t>عدم الامتثال للوائح المحلية و/أو المتطلبات المعلنة للمنشآت التجارية التي تدخلها فيما يتصل بتقديم الخدمات.</w:t>
      </w:r>
    </w:p>
    <w:p w14:paraId="5C0B65D6" w14:textId="77777777" w:rsidR="00A850E1" w:rsidRPr="00F118AC" w:rsidRDefault="00000000" w:rsidP="000D0E13">
      <w:pPr>
        <w:pStyle w:val="ListParagraph"/>
        <w:numPr>
          <w:ilvl w:val="0"/>
          <w:numId w:val="1"/>
        </w:numPr>
        <w:tabs>
          <w:tab w:val="left" w:pos="822"/>
        </w:tabs>
        <w:bidi/>
        <w:spacing w:before="100"/>
        <w:ind w:left="697" w:hanging="391"/>
        <w:rPr>
          <w:rFonts w:asciiTheme="minorBidi" w:hAnsiTheme="minorBidi" w:cstheme="minorBidi"/>
          <w:sz w:val="24"/>
          <w:rtl/>
        </w:rPr>
      </w:pPr>
      <w:r w:rsidRPr="00F118AC">
        <w:rPr>
          <w:rFonts w:asciiTheme="minorBidi" w:eastAsia="Arial" w:hAnsiTheme="minorBidi" w:cstheme="minorBidi"/>
          <w:sz w:val="24"/>
          <w:szCs w:val="24"/>
          <w:rtl/>
        </w:rPr>
        <w:t>عدم اتباع القانون المعمول به في التعامل مع أي انسكابات تتضمن مواد خطرة وتنظيفها.</w:t>
      </w:r>
    </w:p>
    <w:p w14:paraId="3C748D35" w14:textId="77777777" w:rsidR="0013366A" w:rsidRPr="00F118AC" w:rsidRDefault="00000000" w:rsidP="000D0E13">
      <w:pPr>
        <w:pStyle w:val="ListParagraph"/>
        <w:numPr>
          <w:ilvl w:val="0"/>
          <w:numId w:val="1"/>
        </w:numPr>
        <w:tabs>
          <w:tab w:val="left" w:pos="686"/>
        </w:tabs>
        <w:bidi/>
        <w:spacing w:before="100" w:after="240"/>
        <w:ind w:left="306" w:firstLine="0"/>
        <w:rPr>
          <w:rFonts w:asciiTheme="minorBidi" w:hAnsiTheme="minorBidi" w:cstheme="minorBidi"/>
          <w:sz w:val="24"/>
          <w:rtl/>
        </w:rPr>
      </w:pPr>
      <w:r w:rsidRPr="00F118AC">
        <w:rPr>
          <w:rFonts w:asciiTheme="minorBidi" w:eastAsia="Arial" w:hAnsiTheme="minorBidi" w:cstheme="minorBidi"/>
          <w:sz w:val="24"/>
          <w:szCs w:val="24"/>
          <w:rtl/>
        </w:rPr>
        <w:t>عدم الحفاظ على الأهلية القانونية لتقديم الخدمات.</w:t>
      </w:r>
    </w:p>
    <w:p w14:paraId="3C4EA0ED" w14:textId="5E5A072A" w:rsidR="00A850E1" w:rsidRPr="00F118AC" w:rsidRDefault="00000000" w:rsidP="000D0E13">
      <w:pPr>
        <w:tabs>
          <w:tab w:val="left" w:pos="822"/>
        </w:tabs>
        <w:bidi/>
        <w:spacing w:before="120" w:after="240"/>
        <w:rPr>
          <w:rFonts w:asciiTheme="minorBidi" w:hAnsiTheme="minorBidi" w:cstheme="minorBidi"/>
          <w:sz w:val="24"/>
          <w:rtl/>
        </w:rPr>
      </w:pPr>
      <w:r w:rsidRPr="00F118AC">
        <w:rPr>
          <w:rFonts w:asciiTheme="minorBidi" w:eastAsia="Arial" w:hAnsiTheme="minorBidi" w:cstheme="minorBidi"/>
          <w:sz w:val="24"/>
          <w:szCs w:val="24"/>
          <w:u w:val="single"/>
          <w:rtl/>
        </w:rPr>
        <w:t>استخدام التطبيق بطريقة محظورة</w:t>
      </w:r>
    </w:p>
    <w:p w14:paraId="2F808A4D" w14:textId="77777777" w:rsidR="00A850E1" w:rsidRPr="00F118AC" w:rsidRDefault="00000000" w:rsidP="000D0E13">
      <w:pPr>
        <w:pStyle w:val="ListParagraph"/>
        <w:numPr>
          <w:ilvl w:val="0"/>
          <w:numId w:val="1"/>
        </w:numPr>
        <w:tabs>
          <w:tab w:val="left" w:pos="686"/>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مشاركة الحساب بأي شكل من الأشكال</w:t>
      </w:r>
    </w:p>
    <w:p w14:paraId="71467C85" w14:textId="77777777" w:rsidR="00A850E1" w:rsidRPr="00F118AC" w:rsidRDefault="00000000" w:rsidP="000D0E13">
      <w:pPr>
        <w:pStyle w:val="ListParagraph"/>
        <w:numPr>
          <w:ilvl w:val="0"/>
          <w:numId w:val="1"/>
        </w:numPr>
        <w:tabs>
          <w:tab w:val="left" w:pos="686"/>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عدم الحفاظ على سرية وأمن حساب التطبيق الخاص بك.</w:t>
      </w:r>
    </w:p>
    <w:p w14:paraId="3823DE46" w14:textId="77777777" w:rsidR="00A850E1" w:rsidRPr="00F118AC" w:rsidRDefault="00000000" w:rsidP="000D0E13">
      <w:pPr>
        <w:pStyle w:val="ListParagraph"/>
        <w:numPr>
          <w:ilvl w:val="0"/>
          <w:numId w:val="1"/>
        </w:numPr>
        <w:tabs>
          <w:tab w:val="left" w:pos="686"/>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عدم تقديم موقعك الجغرافي الحقيقي والدقيق أثناء استخدام التطبيق.</w:t>
      </w:r>
    </w:p>
    <w:p w14:paraId="5312E2E5" w14:textId="77777777" w:rsidR="00A850E1" w:rsidRPr="00F118AC" w:rsidRDefault="00000000" w:rsidP="000D0E13">
      <w:pPr>
        <w:pStyle w:val="ListParagraph"/>
        <w:numPr>
          <w:ilvl w:val="0"/>
          <w:numId w:val="1"/>
        </w:numPr>
        <w:tabs>
          <w:tab w:val="left" w:pos="686"/>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استخدام شبكة VPN أو أي تقنية أخرى لإخفاء الموقع الجغرافي عمداً أو دون قصد.</w:t>
      </w:r>
    </w:p>
    <w:p w14:paraId="3E5ACE93" w14:textId="724615D4" w:rsidR="00A850E1" w:rsidRPr="00F118AC" w:rsidRDefault="00000000" w:rsidP="00DD7641">
      <w:pPr>
        <w:pStyle w:val="ListParagraph"/>
        <w:numPr>
          <w:ilvl w:val="0"/>
          <w:numId w:val="1"/>
        </w:numPr>
        <w:tabs>
          <w:tab w:val="left" w:pos="822"/>
        </w:tabs>
        <w:bidi/>
        <w:spacing w:before="100"/>
        <w:ind w:left="697" w:hanging="391"/>
        <w:rPr>
          <w:rFonts w:asciiTheme="minorBidi" w:hAnsiTheme="minorBidi" w:cstheme="minorBidi"/>
          <w:rtl/>
        </w:rPr>
      </w:pPr>
      <w:r w:rsidRPr="00F118AC">
        <w:rPr>
          <w:rFonts w:asciiTheme="minorBidi" w:eastAsia="Arial" w:hAnsiTheme="minorBidi" w:cstheme="minorBidi"/>
          <w:sz w:val="24"/>
          <w:szCs w:val="24"/>
          <w:rtl/>
        </w:rPr>
        <w:t xml:space="preserve">استخدام أي فيروس، أو برنامج ضار، أو حصان طروادة، أو شيفرة مخفية، أو فيروس موقوت، أو برامج تجسس، أو أي شيفرة حاسوبية، أو ملف، أو برنامج ضار أو محتمل الضرر أو متطفل أو يهدف إلى إلحاق الضرر أو الاستيلاء على تشغيل أو </w:t>
      </w:r>
      <w:r w:rsidRPr="00F118AC">
        <w:rPr>
          <w:rFonts w:asciiTheme="minorBidi" w:eastAsia="Arial" w:hAnsiTheme="minorBidi" w:cstheme="minorBidi"/>
          <w:rtl/>
        </w:rPr>
        <w:t>مراقبة استخدام أي أجهزة أو برامج أو معدات من خلال التطبيق أو فيما يتصل به. ويشمل ذلك على سبيل المثال لا الحصر استخدام الأجهزة المحمولة المكسورة الحماية أو المعدّلة جذرياً.</w:t>
      </w:r>
    </w:p>
    <w:p w14:paraId="3CB3B525" w14:textId="77777777" w:rsidR="00A850E1" w:rsidRPr="00F118AC" w:rsidRDefault="00000000" w:rsidP="000D0E13">
      <w:pPr>
        <w:pStyle w:val="ListParagraph"/>
        <w:numPr>
          <w:ilvl w:val="0"/>
          <w:numId w:val="1"/>
        </w:numPr>
        <w:tabs>
          <w:tab w:val="left" w:pos="822"/>
        </w:tabs>
        <w:bidi/>
        <w:spacing w:before="100"/>
        <w:ind w:left="697" w:hanging="391"/>
        <w:rPr>
          <w:rFonts w:asciiTheme="minorBidi" w:hAnsiTheme="minorBidi" w:cstheme="minorBidi"/>
          <w:sz w:val="24"/>
          <w:rtl/>
        </w:rPr>
      </w:pPr>
      <w:r w:rsidRPr="00F118AC">
        <w:rPr>
          <w:rFonts w:asciiTheme="minorBidi" w:eastAsia="Arial" w:hAnsiTheme="minorBidi" w:cstheme="minorBidi"/>
          <w:sz w:val="24"/>
          <w:szCs w:val="24"/>
          <w:rtl/>
        </w:rPr>
        <w:t>استخدام أي برامج روبوتية، أو آليات تشغيل مؤتمتة، أو برمجيات زاحفة، أو تطبيقات تنقيب واسترجاع البيانات، أو أي وسائط يدوية أو آلية أخرى بغرض إرسال أو اعتراض أو استرجاع أو فهرسة البيانات، أو استخراج البيانات أو التنقيب عنها، أو جمع أي بيانات تخص Walmart بأي وسيلة كانت، أو إعادة هندسة أو التحايل على البنية البرمجية للتطبيق أو واجهة المستخدم، أو إخفاء بيانات الموقع الجغرافي، أو التلاعب بالوظائف المبرمجة للتطبيق، وذلك دون الحصول على موافقة خطية مسبقة من Walmart.</w:t>
      </w:r>
    </w:p>
    <w:p w14:paraId="55391AD1" w14:textId="77777777" w:rsidR="00A850E1" w:rsidRPr="00F118AC" w:rsidRDefault="00000000" w:rsidP="000D0E13">
      <w:pPr>
        <w:pStyle w:val="BodyText"/>
        <w:bidi/>
        <w:spacing w:before="240" w:after="120"/>
        <w:ind w:left="0" w:firstLine="0"/>
        <w:rPr>
          <w:rFonts w:asciiTheme="minorBidi" w:hAnsiTheme="minorBidi" w:cstheme="minorBidi"/>
          <w:u w:val="single"/>
          <w:rtl/>
        </w:rPr>
      </w:pPr>
      <w:r w:rsidRPr="00F118AC">
        <w:rPr>
          <w:rFonts w:asciiTheme="minorBidi" w:eastAsia="Arial" w:hAnsiTheme="minorBidi" w:cstheme="minorBidi"/>
          <w:u w:val="single"/>
          <w:rtl/>
        </w:rPr>
        <w:t>الأرباح</w:t>
      </w:r>
    </w:p>
    <w:p w14:paraId="0AC69D9E" w14:textId="77777777" w:rsidR="00A850E1" w:rsidRPr="00F118AC" w:rsidRDefault="00000000" w:rsidP="000D0E13">
      <w:pPr>
        <w:pStyle w:val="ListParagraph"/>
        <w:numPr>
          <w:ilvl w:val="0"/>
          <w:numId w:val="1"/>
        </w:numPr>
        <w:tabs>
          <w:tab w:val="left" w:pos="714"/>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عدم الاحتفاظ بحساب أرباح مؤهل لإيداع الأرباح.</w:t>
      </w:r>
    </w:p>
    <w:p w14:paraId="00997A23" w14:textId="77777777" w:rsidR="00A850E1" w:rsidRPr="00F118AC" w:rsidRDefault="00000000" w:rsidP="000D0E13">
      <w:pPr>
        <w:pStyle w:val="ListParagraph"/>
        <w:numPr>
          <w:ilvl w:val="0"/>
          <w:numId w:val="1"/>
        </w:numPr>
        <w:tabs>
          <w:tab w:val="left" w:pos="714"/>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التلاعب بالتطبيق بأي طريقة بهدف تضخيم الأرباح على غير الحقيقة.</w:t>
      </w:r>
    </w:p>
    <w:p w14:paraId="1AEF4BFC" w14:textId="77777777" w:rsidR="00A850E1" w:rsidRPr="00F118AC" w:rsidRDefault="00000000" w:rsidP="000D0E13">
      <w:pPr>
        <w:pStyle w:val="ListParagraph"/>
        <w:numPr>
          <w:ilvl w:val="0"/>
          <w:numId w:val="1"/>
        </w:numPr>
        <w:tabs>
          <w:tab w:val="left" w:pos="714"/>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قبول وإسقاط الطلبات بشكل متكرر و/أو إلغاء الطلبات بشكل متكرر.</w:t>
      </w:r>
    </w:p>
    <w:p w14:paraId="085DC671" w14:textId="77777777" w:rsidR="00D52CB3" w:rsidRPr="00F118AC" w:rsidRDefault="00000000" w:rsidP="000D0E13">
      <w:pPr>
        <w:pStyle w:val="ListParagraph"/>
        <w:numPr>
          <w:ilvl w:val="0"/>
          <w:numId w:val="1"/>
        </w:numPr>
        <w:tabs>
          <w:tab w:val="left" w:pos="714"/>
        </w:tabs>
        <w:bidi/>
        <w:spacing w:before="100"/>
        <w:ind w:left="306" w:firstLine="0"/>
        <w:rPr>
          <w:rFonts w:asciiTheme="minorBidi" w:hAnsiTheme="minorBidi" w:cstheme="minorBidi"/>
          <w:sz w:val="24"/>
          <w:rtl/>
        </w:rPr>
      </w:pPr>
      <w:r w:rsidRPr="00F118AC">
        <w:rPr>
          <w:rFonts w:asciiTheme="minorBidi" w:eastAsia="Arial" w:hAnsiTheme="minorBidi" w:cstheme="minorBidi"/>
          <w:sz w:val="24"/>
          <w:szCs w:val="24"/>
          <w:rtl/>
        </w:rPr>
        <w:t>التأشير كذباً على السلع بأنها "غير متوفرة في المخزون" في طلبات التسوق.</w:t>
      </w:r>
    </w:p>
    <w:p w14:paraId="6942D006" w14:textId="30F2502E" w:rsidR="00A850E1" w:rsidRPr="00F118AC" w:rsidRDefault="00000000" w:rsidP="000D0E13">
      <w:pPr>
        <w:tabs>
          <w:tab w:val="left" w:pos="714"/>
        </w:tabs>
        <w:bidi/>
        <w:spacing w:before="240" w:after="240"/>
        <w:rPr>
          <w:rFonts w:asciiTheme="minorBidi" w:hAnsiTheme="minorBidi" w:cstheme="minorBidi"/>
          <w:sz w:val="24"/>
          <w:rtl/>
        </w:rPr>
      </w:pPr>
      <w:r w:rsidRPr="00F118AC">
        <w:rPr>
          <w:rFonts w:asciiTheme="minorBidi" w:eastAsia="Arial" w:hAnsiTheme="minorBidi" w:cstheme="minorBidi"/>
          <w:sz w:val="24"/>
          <w:szCs w:val="24"/>
          <w:u w:val="single"/>
          <w:rtl/>
        </w:rPr>
        <w:t>السرية</w:t>
      </w:r>
    </w:p>
    <w:p w14:paraId="4333547A" w14:textId="77777777" w:rsidR="00A850E1" w:rsidRPr="00F118AC" w:rsidRDefault="00000000" w:rsidP="00F118AC">
      <w:pPr>
        <w:pStyle w:val="ListParagraph"/>
        <w:numPr>
          <w:ilvl w:val="0"/>
          <w:numId w:val="1"/>
        </w:numPr>
        <w:tabs>
          <w:tab w:val="left" w:pos="714"/>
        </w:tabs>
        <w:bidi/>
        <w:ind w:left="306" w:firstLine="0"/>
        <w:rPr>
          <w:rFonts w:asciiTheme="minorBidi" w:hAnsiTheme="minorBidi" w:cstheme="minorBidi"/>
          <w:sz w:val="24"/>
        </w:rPr>
      </w:pPr>
      <w:r w:rsidRPr="00F118AC">
        <w:rPr>
          <w:rFonts w:asciiTheme="minorBidi" w:eastAsia="Arial" w:hAnsiTheme="minorBidi" w:cstheme="minorBidi"/>
          <w:sz w:val="24"/>
          <w:szCs w:val="24"/>
          <w:rtl/>
        </w:rPr>
        <w:t>انتهاك أي من التزامات السرية التي يقتضيها العقد.</w:t>
      </w:r>
    </w:p>
    <w:p w14:paraId="1BEF8EB9" w14:textId="77777777" w:rsidR="00F118AC" w:rsidRPr="00F118AC" w:rsidRDefault="00F118AC" w:rsidP="00F118AC">
      <w:pPr>
        <w:tabs>
          <w:tab w:val="left" w:pos="714"/>
        </w:tabs>
        <w:bidi/>
        <w:rPr>
          <w:rFonts w:asciiTheme="minorBidi" w:hAnsiTheme="minorBidi" w:cstheme="minorBidi"/>
          <w:sz w:val="24"/>
        </w:rPr>
      </w:pPr>
    </w:p>
    <w:p w14:paraId="233CA9D5" w14:textId="77777777" w:rsidR="00A850E1" w:rsidRPr="00F118AC" w:rsidRDefault="00000000" w:rsidP="000D0E13">
      <w:pPr>
        <w:pStyle w:val="Heading1"/>
        <w:bidi/>
        <w:spacing w:before="240" w:after="240"/>
        <w:ind w:left="0"/>
        <w:rPr>
          <w:rFonts w:asciiTheme="minorBidi" w:hAnsiTheme="minorBidi" w:cstheme="minorBidi"/>
          <w:color w:val="2D2E31"/>
          <w:rtl/>
        </w:rPr>
      </w:pPr>
      <w:r w:rsidRPr="00F118AC">
        <w:rPr>
          <w:rFonts w:asciiTheme="minorBidi" w:eastAsia="Arial" w:hAnsiTheme="minorBidi" w:cstheme="minorBidi"/>
          <w:color w:val="2D2E31"/>
          <w:rtl/>
        </w:rPr>
        <w:lastRenderedPageBreak/>
        <w:t>إخلاء المسؤولية والمعلومات القانونية الرئيسية</w:t>
      </w:r>
    </w:p>
    <w:p w14:paraId="694C1E3A" w14:textId="77777777" w:rsidR="00A850E1" w:rsidRPr="00F118AC" w:rsidRDefault="00000000" w:rsidP="000D0E13">
      <w:pPr>
        <w:pStyle w:val="BodyText"/>
        <w:bidi/>
        <w:spacing w:before="100"/>
        <w:ind w:left="0" w:firstLine="0"/>
        <w:rPr>
          <w:rFonts w:asciiTheme="minorBidi" w:hAnsiTheme="minorBidi" w:cstheme="minorBidi"/>
          <w:color w:val="2D2E31"/>
          <w:rtl/>
        </w:rPr>
      </w:pPr>
      <w:r w:rsidRPr="00F118AC">
        <w:rPr>
          <w:rFonts w:asciiTheme="minorBidi" w:eastAsia="Arial" w:hAnsiTheme="minorBidi" w:cstheme="minorBidi"/>
          <w:color w:val="2D2E31"/>
          <w:rtl/>
        </w:rPr>
        <w:t>المعلومات الواردة في صحيفة المعلومات الماثلة للإرشاد العام فقط. لا تشكّل هذه الصحيفة عقداً قانونياً ولا ينبغي تفسيرها على هذا النحو. العقد هو المستند القانوني الحاكم. في حالة وجود أي تعارض</w:t>
      </w:r>
    </w:p>
    <w:p w14:paraId="28308CB6" w14:textId="77777777" w:rsidR="00A850E1" w:rsidRPr="00F118AC" w:rsidRDefault="00000000" w:rsidP="000D0E13">
      <w:pPr>
        <w:pStyle w:val="BodyText"/>
        <w:bidi/>
        <w:spacing w:before="100"/>
        <w:ind w:left="0" w:firstLine="0"/>
        <w:rPr>
          <w:rFonts w:asciiTheme="minorBidi" w:hAnsiTheme="minorBidi" w:cstheme="minorBidi"/>
          <w:color w:val="2D2E31"/>
          <w:rtl/>
        </w:rPr>
      </w:pPr>
      <w:r w:rsidRPr="00F118AC">
        <w:rPr>
          <w:rFonts w:asciiTheme="minorBidi" w:eastAsia="Arial" w:hAnsiTheme="minorBidi" w:cstheme="minorBidi"/>
          <w:color w:val="2D2E31"/>
          <w:rtl/>
        </w:rPr>
        <w:t>بين هذه الصحيفة وشروط العقد، يُعمَل بشروط العقد. للاطلاع على التفاصيل والالتزامات المحددة، يُرجى الرجوع إلى العقد الفعلي.</w:t>
      </w:r>
    </w:p>
    <w:p w14:paraId="4C50281F" w14:textId="549FBBD7" w:rsidR="00EA75C2" w:rsidRPr="00F118AC" w:rsidRDefault="00000000" w:rsidP="00DD7641">
      <w:pPr>
        <w:pStyle w:val="BodyText"/>
        <w:bidi/>
        <w:spacing w:before="240"/>
        <w:ind w:left="0" w:firstLine="0"/>
        <w:rPr>
          <w:rFonts w:asciiTheme="minorBidi" w:hAnsiTheme="minorBidi" w:cstheme="minorBidi"/>
          <w:color w:val="2D2E31"/>
          <w:rtl/>
        </w:rPr>
      </w:pPr>
      <w:r w:rsidRPr="00F118AC">
        <w:rPr>
          <w:rFonts w:asciiTheme="minorBidi" w:eastAsia="Arial" w:hAnsiTheme="minorBidi" w:cstheme="minorBidi"/>
          <w:color w:val="2D2E31"/>
          <w:rtl/>
        </w:rPr>
        <w:t>لا تحل وثيقة المعلومات الماثلة محل اتفاقية عدم الإفصاح وتسوية المنازعات المُوقّعة من السائق، ولا ينبغي تفسيرها على هذا النحو.</w:t>
      </w:r>
    </w:p>
    <w:sectPr w:rsidR="00EA75C2" w:rsidRPr="00F118AC" w:rsidSect="00BC52CF">
      <w:pgSz w:w="12240" w:h="15840"/>
      <w:pgMar w:top="1457" w:right="1554" w:bottom="164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D60F4"/>
    <w:multiLevelType w:val="hybridMultilevel"/>
    <w:tmpl w:val="9398A60A"/>
    <w:lvl w:ilvl="0" w:tplc="73C83D06">
      <w:numFmt w:val="bullet"/>
      <w:lvlText w:val=""/>
      <w:lvlJc w:val="left"/>
      <w:pPr>
        <w:ind w:left="822" w:hanging="361"/>
      </w:pPr>
      <w:rPr>
        <w:rFonts w:ascii="Symbol" w:eastAsia="Symbol" w:hAnsi="Symbol" w:cs="Symbol" w:hint="default"/>
        <w:b w:val="0"/>
        <w:bCs w:val="0"/>
        <w:i w:val="0"/>
        <w:iCs w:val="0"/>
        <w:spacing w:val="0"/>
        <w:w w:val="100"/>
        <w:sz w:val="24"/>
        <w:szCs w:val="24"/>
        <w:lang w:val="en-US" w:eastAsia="en-US" w:bidi="ar-SA"/>
      </w:rPr>
    </w:lvl>
    <w:lvl w:ilvl="1" w:tplc="61B601A4">
      <w:numFmt w:val="bullet"/>
      <w:lvlText w:val="•"/>
      <w:lvlJc w:val="left"/>
      <w:pPr>
        <w:ind w:left="1696" w:hanging="361"/>
      </w:pPr>
      <w:rPr>
        <w:rFonts w:hint="default"/>
        <w:lang w:val="en-US" w:eastAsia="en-US" w:bidi="ar-SA"/>
      </w:rPr>
    </w:lvl>
    <w:lvl w:ilvl="2" w:tplc="36EC59CA">
      <w:numFmt w:val="bullet"/>
      <w:lvlText w:val="•"/>
      <w:lvlJc w:val="left"/>
      <w:pPr>
        <w:ind w:left="2572" w:hanging="361"/>
      </w:pPr>
      <w:rPr>
        <w:rFonts w:hint="default"/>
        <w:lang w:val="en-US" w:eastAsia="en-US" w:bidi="ar-SA"/>
      </w:rPr>
    </w:lvl>
    <w:lvl w:ilvl="3" w:tplc="2FFAFAF4">
      <w:numFmt w:val="bullet"/>
      <w:lvlText w:val="•"/>
      <w:lvlJc w:val="left"/>
      <w:pPr>
        <w:ind w:left="3448" w:hanging="361"/>
      </w:pPr>
      <w:rPr>
        <w:rFonts w:hint="default"/>
        <w:lang w:val="en-US" w:eastAsia="en-US" w:bidi="ar-SA"/>
      </w:rPr>
    </w:lvl>
    <w:lvl w:ilvl="4" w:tplc="02BC3CA6">
      <w:numFmt w:val="bullet"/>
      <w:lvlText w:val="•"/>
      <w:lvlJc w:val="left"/>
      <w:pPr>
        <w:ind w:left="4324" w:hanging="361"/>
      </w:pPr>
      <w:rPr>
        <w:rFonts w:hint="default"/>
        <w:lang w:val="en-US" w:eastAsia="en-US" w:bidi="ar-SA"/>
      </w:rPr>
    </w:lvl>
    <w:lvl w:ilvl="5" w:tplc="0880673C">
      <w:numFmt w:val="bullet"/>
      <w:lvlText w:val="•"/>
      <w:lvlJc w:val="left"/>
      <w:pPr>
        <w:ind w:left="5200" w:hanging="361"/>
      </w:pPr>
      <w:rPr>
        <w:rFonts w:hint="default"/>
        <w:lang w:val="en-US" w:eastAsia="en-US" w:bidi="ar-SA"/>
      </w:rPr>
    </w:lvl>
    <w:lvl w:ilvl="6" w:tplc="FD4A8CF8">
      <w:numFmt w:val="bullet"/>
      <w:lvlText w:val="•"/>
      <w:lvlJc w:val="left"/>
      <w:pPr>
        <w:ind w:left="6076" w:hanging="361"/>
      </w:pPr>
      <w:rPr>
        <w:rFonts w:hint="default"/>
        <w:lang w:val="en-US" w:eastAsia="en-US" w:bidi="ar-SA"/>
      </w:rPr>
    </w:lvl>
    <w:lvl w:ilvl="7" w:tplc="91F86E30">
      <w:numFmt w:val="bullet"/>
      <w:lvlText w:val="•"/>
      <w:lvlJc w:val="left"/>
      <w:pPr>
        <w:ind w:left="6952" w:hanging="361"/>
      </w:pPr>
      <w:rPr>
        <w:rFonts w:hint="default"/>
        <w:lang w:val="en-US" w:eastAsia="en-US" w:bidi="ar-SA"/>
      </w:rPr>
    </w:lvl>
    <w:lvl w:ilvl="8" w:tplc="BBC4EEA6">
      <w:numFmt w:val="bullet"/>
      <w:lvlText w:val="•"/>
      <w:lvlJc w:val="left"/>
      <w:pPr>
        <w:ind w:left="7828" w:hanging="361"/>
      </w:pPr>
      <w:rPr>
        <w:rFonts w:hint="default"/>
        <w:lang w:val="en-US" w:eastAsia="en-US" w:bidi="ar-SA"/>
      </w:rPr>
    </w:lvl>
  </w:abstractNum>
  <w:num w:numId="1" w16cid:durableId="67804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C2"/>
    <w:rsid w:val="000D0E13"/>
    <w:rsid w:val="0013366A"/>
    <w:rsid w:val="001F61D3"/>
    <w:rsid w:val="00280886"/>
    <w:rsid w:val="00291EB9"/>
    <w:rsid w:val="002A1AB3"/>
    <w:rsid w:val="00303A8F"/>
    <w:rsid w:val="00346D23"/>
    <w:rsid w:val="00A75F5A"/>
    <w:rsid w:val="00A850E1"/>
    <w:rsid w:val="00BC52CF"/>
    <w:rsid w:val="00BE7ED0"/>
    <w:rsid w:val="00D52CB3"/>
    <w:rsid w:val="00DD7641"/>
    <w:rsid w:val="00E04644"/>
    <w:rsid w:val="00E16456"/>
    <w:rsid w:val="00E313E8"/>
    <w:rsid w:val="00EA75C2"/>
    <w:rsid w:val="00EB5815"/>
    <w:rsid w:val="00EF5CAA"/>
    <w:rsid w:val="00F118AC"/>
    <w:rsid w:val="00F441E3"/>
    <w:rsid w:val="00F559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C8F2"/>
  <w15:docId w15:val="{91791F78-82FB-412D-9CA1-0D865E40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7"/>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2" w:hanging="361"/>
    </w:pPr>
    <w:rPr>
      <w:sz w:val="24"/>
      <w:szCs w:val="24"/>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50E1"/>
    <w:pPr>
      <w:tabs>
        <w:tab w:val="center" w:pos="4153"/>
        <w:tab w:val="right" w:pos="8306"/>
      </w:tabs>
    </w:pPr>
  </w:style>
  <w:style w:type="character" w:customStyle="1" w:styleId="HeaderChar">
    <w:name w:val="Header Char"/>
    <w:basedOn w:val="DefaultParagraphFont"/>
    <w:link w:val="Header"/>
    <w:uiPriority w:val="99"/>
    <w:rsid w:val="00A850E1"/>
    <w:rPr>
      <w:rFonts w:ascii="Calibri" w:eastAsia="Calibri" w:hAnsi="Calibri" w:cs="Calibri"/>
    </w:rPr>
  </w:style>
  <w:style w:type="paragraph" w:styleId="Footer">
    <w:name w:val="footer"/>
    <w:basedOn w:val="Normal"/>
    <w:link w:val="FooterChar"/>
    <w:uiPriority w:val="99"/>
    <w:unhideWhenUsed/>
    <w:rsid w:val="00A850E1"/>
    <w:pPr>
      <w:tabs>
        <w:tab w:val="center" w:pos="4153"/>
        <w:tab w:val="right" w:pos="8306"/>
      </w:tabs>
    </w:pPr>
  </w:style>
  <w:style w:type="character" w:customStyle="1" w:styleId="FooterChar">
    <w:name w:val="Footer Char"/>
    <w:basedOn w:val="DefaultParagraphFont"/>
    <w:link w:val="Footer"/>
    <w:uiPriority w:val="99"/>
    <w:rsid w:val="00A850E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rahma elramly</cp:lastModifiedBy>
  <cp:revision>5</cp:revision>
  <dcterms:created xsi:type="dcterms:W3CDTF">2024-11-16T00:13:00Z</dcterms:created>
  <dcterms:modified xsi:type="dcterms:W3CDTF">2024-11-21T08:09:00Z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PDFium</vt:lpwstr>
  </property>
  <property fmtid="{D5CDD505-2E9C-101B-9397-08002B2CF9AE}" pid="4" name="LastSaved">
    <vt:filetime>2024-11-12T00:00:00Z</vt:filetime>
  </property>
  <property fmtid="{D5CDD505-2E9C-101B-9397-08002B2CF9AE}" pid="5" name="Producer">
    <vt:lpwstr>PDFium</vt:lpwstr>
  </property>
</Properties>
</file>