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8" w:rsidRDefault="00664658">
      <w:pPr>
        <w:pStyle w:val="BodyText"/>
        <w:rPr>
          <w:rFonts w:ascii="Times New Roman"/>
        </w:rPr>
      </w:pPr>
      <w:bookmarkStart w:id="0" w:name="_GoBack"/>
      <w:bookmarkEnd w:id="0"/>
    </w:p>
    <w:p w:rsidR="00664658" w:rsidRDefault="00664658">
      <w:pPr>
        <w:pStyle w:val="BodyText"/>
        <w:spacing w:before="1"/>
        <w:rPr>
          <w:rFonts w:ascii="Times New Roman"/>
          <w:sz w:val="29"/>
        </w:rPr>
      </w:pPr>
    </w:p>
    <w:p w:rsidR="00664658" w:rsidRDefault="0081589F">
      <w:pPr>
        <w:pStyle w:val="Heading1"/>
        <w:ind w:right="1663"/>
      </w:pPr>
      <w:r>
        <w:t>DEPARTMENT OF LABOR AND EMPLOYMENT</w:t>
      </w:r>
    </w:p>
    <w:p w:rsidR="00664658" w:rsidRDefault="0081589F">
      <w:pPr>
        <w:spacing w:before="239"/>
        <w:ind w:left="1646" w:right="1660"/>
        <w:jc w:val="center"/>
        <w:rPr>
          <w:b/>
          <w:sz w:val="28"/>
        </w:rPr>
      </w:pPr>
      <w:r>
        <w:rPr>
          <w:b/>
          <w:sz w:val="28"/>
        </w:rPr>
        <w:t>Division of Workers’ Compensation</w:t>
      </w:r>
    </w:p>
    <w:p w:rsidR="00664658" w:rsidRDefault="0081589F">
      <w:pPr>
        <w:pStyle w:val="Heading2"/>
        <w:ind w:right="1664"/>
      </w:pPr>
      <w:r>
        <w:t>7 CCR 1101-3</w:t>
      </w:r>
    </w:p>
    <w:p w:rsidR="00664658" w:rsidRDefault="0081589F">
      <w:pPr>
        <w:ind w:left="1646" w:right="1667"/>
        <w:jc w:val="center"/>
        <w:rPr>
          <w:b/>
          <w:sz w:val="24"/>
        </w:rPr>
      </w:pPr>
      <w:r>
        <w:rPr>
          <w:b/>
          <w:sz w:val="24"/>
        </w:rPr>
        <w:t>WORKERS’ COMPENSATION RULES OF PROCEDURE</w:t>
      </w:r>
    </w:p>
    <w:p w:rsidR="00664658" w:rsidRDefault="00664658">
      <w:pPr>
        <w:pStyle w:val="BodyText"/>
        <w:spacing w:before="10"/>
        <w:rPr>
          <w:b/>
        </w:rPr>
      </w:pPr>
    </w:p>
    <w:p w:rsidR="00664658" w:rsidRDefault="0081589F">
      <w:pPr>
        <w:tabs>
          <w:tab w:val="left" w:pos="1539"/>
        </w:tabs>
        <w:ind w:left="100"/>
        <w:rPr>
          <w:b/>
          <w:sz w:val="24"/>
        </w:rPr>
      </w:pPr>
      <w:r>
        <w:rPr>
          <w:b/>
          <w:sz w:val="24"/>
        </w:rPr>
        <w:t>Rule 13</w:t>
      </w:r>
      <w:r>
        <w:rPr>
          <w:b/>
          <w:sz w:val="24"/>
        </w:rPr>
        <w:tab/>
        <w:t>Provider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Accreditation</w:t>
      </w:r>
    </w:p>
    <w:p w:rsidR="00664658" w:rsidRDefault="00664658">
      <w:pPr>
        <w:pStyle w:val="BodyText"/>
        <w:spacing w:before="10"/>
        <w:rPr>
          <w:b/>
        </w:rPr>
      </w:pPr>
    </w:p>
    <w:p w:rsidR="00664658" w:rsidRDefault="0081589F">
      <w:pPr>
        <w:pStyle w:val="ListParagraph"/>
        <w:numPr>
          <w:ilvl w:val="1"/>
          <w:numId w:val="4"/>
        </w:numPr>
        <w:tabs>
          <w:tab w:val="left" w:pos="819"/>
          <w:tab w:val="left" w:pos="820"/>
        </w:tabs>
        <w:spacing w:before="1"/>
        <w:ind w:hanging="719"/>
        <w:rPr>
          <w:sz w:val="20"/>
        </w:rPr>
      </w:pPr>
      <w:r>
        <w:rPr>
          <w:sz w:val="20"/>
        </w:rPr>
        <w:t>STATEMENT OF BASIS AND</w:t>
      </w:r>
      <w:r>
        <w:rPr>
          <w:spacing w:val="-9"/>
          <w:sz w:val="20"/>
        </w:rPr>
        <w:t xml:space="preserve"> </w:t>
      </w:r>
      <w:r>
        <w:rPr>
          <w:sz w:val="20"/>
        </w:rPr>
        <w:t>PURPOSE</w:t>
      </w:r>
    </w:p>
    <w:p w:rsidR="00664658" w:rsidRDefault="00664658">
      <w:pPr>
        <w:pStyle w:val="BodyText"/>
        <w:spacing w:before="10"/>
      </w:pPr>
    </w:p>
    <w:p w:rsidR="00664658" w:rsidRDefault="0081589F">
      <w:pPr>
        <w:pStyle w:val="ListParagraph"/>
        <w:numPr>
          <w:ilvl w:val="2"/>
          <w:numId w:val="4"/>
        </w:numPr>
        <w:tabs>
          <w:tab w:val="left" w:pos="1540"/>
        </w:tabs>
        <w:ind w:right="115"/>
        <w:jc w:val="both"/>
        <w:rPr>
          <w:sz w:val="20"/>
        </w:rPr>
      </w:pPr>
      <w:r>
        <w:rPr>
          <w:sz w:val="20"/>
        </w:rPr>
        <w:t>This rule implements and establishes procedures for the provider accreditation program set forth in § 8-42-101(3.5) and (3.6), C.R.S., as well educates the providers about their administrative, legal, and medical roles in the Colorado workers’ compensation</w:t>
      </w:r>
      <w:r>
        <w:rPr>
          <w:sz w:val="20"/>
        </w:rPr>
        <w:t xml:space="preserve"> system. Accreditation requirements shall apply</w:t>
      </w:r>
      <w:r>
        <w:rPr>
          <w:spacing w:val="-23"/>
          <w:sz w:val="20"/>
        </w:rPr>
        <w:t xml:space="preserve"> </w:t>
      </w:r>
      <w:r>
        <w:rPr>
          <w:sz w:val="20"/>
        </w:rPr>
        <w:t>to:</w:t>
      </w:r>
    </w:p>
    <w:p w:rsidR="00664658" w:rsidRDefault="00664658">
      <w:pPr>
        <w:pStyle w:val="BodyText"/>
        <w:spacing w:before="9"/>
      </w:pPr>
    </w:p>
    <w:p w:rsidR="00664658" w:rsidRDefault="0081589F">
      <w:pPr>
        <w:pStyle w:val="ListParagraph"/>
        <w:numPr>
          <w:ilvl w:val="3"/>
          <w:numId w:val="4"/>
        </w:numPr>
        <w:tabs>
          <w:tab w:val="left" w:pos="2261"/>
        </w:tabs>
        <w:spacing w:before="1"/>
        <w:ind w:right="117" w:hanging="720"/>
        <w:jc w:val="both"/>
        <w:rPr>
          <w:sz w:val="20"/>
        </w:rPr>
      </w:pPr>
      <w:r>
        <w:rPr>
          <w:sz w:val="20"/>
        </w:rPr>
        <w:t>Providers who seek Level I or Level II accreditation under § 8-42-101(3.5) and (3.6),</w:t>
      </w:r>
      <w:r>
        <w:rPr>
          <w:spacing w:val="-10"/>
          <w:sz w:val="20"/>
        </w:rPr>
        <w:t xml:space="preserve"> </w:t>
      </w:r>
      <w:r>
        <w:rPr>
          <w:sz w:val="20"/>
        </w:rPr>
        <w:t>C.R.S.;</w:t>
      </w:r>
    </w:p>
    <w:p w:rsidR="00664658" w:rsidRDefault="00664658">
      <w:pPr>
        <w:pStyle w:val="BodyText"/>
        <w:spacing w:before="10"/>
      </w:pPr>
    </w:p>
    <w:p w:rsidR="00664658" w:rsidRDefault="0081589F">
      <w:pPr>
        <w:pStyle w:val="ListParagraph"/>
        <w:numPr>
          <w:ilvl w:val="3"/>
          <w:numId w:val="4"/>
        </w:numPr>
        <w:tabs>
          <w:tab w:val="left" w:pos="2260"/>
          <w:tab w:val="left" w:pos="2261"/>
        </w:tabs>
        <w:ind w:hanging="720"/>
        <w:rPr>
          <w:sz w:val="20"/>
        </w:rPr>
      </w:pPr>
      <w:r>
        <w:rPr>
          <w:sz w:val="20"/>
        </w:rPr>
        <w:t>Physicians providing permanent impairment evaluations of claimants;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</w:p>
    <w:p w:rsidR="00664658" w:rsidRDefault="00664658">
      <w:pPr>
        <w:pStyle w:val="BodyText"/>
        <w:spacing w:before="9"/>
      </w:pPr>
    </w:p>
    <w:p w:rsidR="00664658" w:rsidRDefault="0081589F">
      <w:pPr>
        <w:pStyle w:val="ListParagraph"/>
        <w:numPr>
          <w:ilvl w:val="3"/>
          <w:numId w:val="4"/>
        </w:numPr>
        <w:tabs>
          <w:tab w:val="left" w:pos="2260"/>
          <w:tab w:val="left" w:pos="2261"/>
        </w:tabs>
        <w:spacing w:before="1"/>
        <w:ind w:hanging="720"/>
        <w:rPr>
          <w:sz w:val="20"/>
        </w:rPr>
      </w:pPr>
      <w:r>
        <w:rPr>
          <w:sz w:val="20"/>
        </w:rPr>
        <w:t>Physicians serving on the Division Independent Medical Examination</w:t>
      </w:r>
      <w:r>
        <w:rPr>
          <w:spacing w:val="-36"/>
          <w:sz w:val="20"/>
        </w:rPr>
        <w:t xml:space="preserve"> </w:t>
      </w:r>
      <w:r>
        <w:rPr>
          <w:sz w:val="20"/>
        </w:rPr>
        <w:t>Panel.</w:t>
      </w:r>
    </w:p>
    <w:p w:rsidR="00664658" w:rsidRDefault="00664658">
      <w:pPr>
        <w:pStyle w:val="BodyText"/>
        <w:spacing w:before="10"/>
      </w:pPr>
    </w:p>
    <w:p w:rsidR="00664658" w:rsidRDefault="0081589F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sz w:val="20"/>
        </w:rPr>
        <w:t>ACCREDITATION</w:t>
      </w:r>
    </w:p>
    <w:p w:rsidR="00664658" w:rsidRDefault="00664658">
      <w:pPr>
        <w:pStyle w:val="BodyText"/>
        <w:spacing w:before="7"/>
      </w:pPr>
    </w:p>
    <w:p w:rsidR="00664658" w:rsidRDefault="0081589F">
      <w:pPr>
        <w:pStyle w:val="ListParagraph"/>
        <w:numPr>
          <w:ilvl w:val="2"/>
          <w:numId w:val="4"/>
        </w:numPr>
        <w:tabs>
          <w:tab w:val="left" w:pos="1540"/>
          <w:tab w:val="left" w:pos="1541"/>
          <w:tab w:val="left" w:pos="2260"/>
        </w:tabs>
        <w:spacing w:line="484" w:lineRule="auto"/>
        <w:ind w:left="1540" w:right="3801" w:hanging="665"/>
        <w:rPr>
          <w:rFonts w:ascii="Times New Roman" w:hAnsi="Times New Roman"/>
          <w:sz w:val="24"/>
        </w:rPr>
      </w:pPr>
      <w:r>
        <w:rPr>
          <w:sz w:val="20"/>
        </w:rPr>
        <w:t>To obtain Level I Accreditation, a provider must: (1)</w:t>
      </w:r>
      <w:r>
        <w:rPr>
          <w:sz w:val="20"/>
        </w:rPr>
        <w:tab/>
        <w:t>Qualify under § 8-42-101(3.5),</w:t>
      </w:r>
      <w:r>
        <w:rPr>
          <w:spacing w:val="-21"/>
          <w:sz w:val="20"/>
        </w:rPr>
        <w:t xml:space="preserve"> </w:t>
      </w:r>
      <w:r>
        <w:rPr>
          <w:sz w:val="20"/>
        </w:rPr>
        <w:t>C.R.S.</w:t>
      </w:r>
      <w:r>
        <w:rPr>
          <w:rFonts w:ascii="Times New Roman" w:hAnsi="Times New Roman"/>
          <w:sz w:val="24"/>
        </w:rPr>
        <w:t>;</w:t>
      </w:r>
    </w:p>
    <w:p w:rsidR="00664658" w:rsidRDefault="0081589F">
      <w:pPr>
        <w:pStyle w:val="ListParagraph"/>
        <w:numPr>
          <w:ilvl w:val="0"/>
          <w:numId w:val="3"/>
        </w:numPr>
        <w:tabs>
          <w:tab w:val="left" w:pos="2260"/>
          <w:tab w:val="left" w:pos="2261"/>
        </w:tabs>
        <w:spacing w:line="204" w:lineRule="exact"/>
        <w:ind w:hanging="720"/>
        <w:rPr>
          <w:sz w:val="20"/>
        </w:rPr>
      </w:pPr>
      <w:r>
        <w:rPr>
          <w:sz w:val="20"/>
        </w:rPr>
        <w:t xml:space="preserve">Complete an application form prescribed by the Division and pay the </w:t>
      </w:r>
      <w:r>
        <w:rPr>
          <w:spacing w:val="10"/>
          <w:sz w:val="20"/>
        </w:rPr>
        <w:t xml:space="preserve"> </w:t>
      </w:r>
      <w:r>
        <w:rPr>
          <w:sz w:val="20"/>
        </w:rPr>
        <w:t>regi</w:t>
      </w:r>
      <w:r>
        <w:rPr>
          <w:sz w:val="20"/>
        </w:rPr>
        <w:t>stration</w:t>
      </w:r>
    </w:p>
    <w:p w:rsidR="00664658" w:rsidRDefault="0081589F">
      <w:pPr>
        <w:pStyle w:val="BodyText"/>
        <w:spacing w:before="1"/>
        <w:ind w:left="2260"/>
      </w:pPr>
      <w:proofErr w:type="gramStart"/>
      <w:r>
        <w:t>fee</w:t>
      </w:r>
      <w:proofErr w:type="gramEnd"/>
      <w:r>
        <w:t>;</w:t>
      </w:r>
    </w:p>
    <w:p w:rsidR="00664658" w:rsidRDefault="00664658">
      <w:pPr>
        <w:pStyle w:val="BodyText"/>
        <w:spacing w:before="10"/>
      </w:pPr>
    </w:p>
    <w:p w:rsidR="00664658" w:rsidRDefault="0081589F">
      <w:pPr>
        <w:pStyle w:val="ListParagraph"/>
        <w:numPr>
          <w:ilvl w:val="0"/>
          <w:numId w:val="3"/>
        </w:numPr>
        <w:tabs>
          <w:tab w:val="left" w:pos="2260"/>
          <w:tab w:val="left" w:pos="2261"/>
        </w:tabs>
        <w:ind w:hanging="720"/>
        <w:rPr>
          <w:sz w:val="20"/>
        </w:rPr>
      </w:pPr>
      <w:r>
        <w:rPr>
          <w:sz w:val="20"/>
        </w:rPr>
        <w:t>Complete the Division Level I</w:t>
      </w:r>
      <w:r>
        <w:rPr>
          <w:spacing w:val="-19"/>
          <w:sz w:val="20"/>
        </w:rPr>
        <w:t xml:space="preserve"> </w:t>
      </w:r>
      <w:r>
        <w:rPr>
          <w:sz w:val="20"/>
        </w:rPr>
        <w:t>course;</w:t>
      </w:r>
    </w:p>
    <w:p w:rsidR="00664658" w:rsidRDefault="00664658">
      <w:pPr>
        <w:pStyle w:val="BodyText"/>
        <w:spacing w:before="10"/>
      </w:pPr>
    </w:p>
    <w:p w:rsidR="00664658" w:rsidRDefault="0081589F">
      <w:pPr>
        <w:pStyle w:val="ListParagraph"/>
        <w:numPr>
          <w:ilvl w:val="0"/>
          <w:numId w:val="3"/>
        </w:numPr>
        <w:tabs>
          <w:tab w:val="left" w:pos="2261"/>
        </w:tabs>
        <w:ind w:right="118" w:hanging="720"/>
        <w:jc w:val="both"/>
        <w:rPr>
          <w:sz w:val="20"/>
        </w:rPr>
      </w:pPr>
      <w:r>
        <w:rPr>
          <w:sz w:val="20"/>
        </w:rPr>
        <w:t>Demonstrate an understanding of the Division materials by passing a Division- administered examination. If the provider does not exhibit sufficient knowledge upon taking the examination a second time, he or she must attend the seminar again prior to any fu</w:t>
      </w:r>
      <w:r>
        <w:rPr>
          <w:sz w:val="20"/>
        </w:rPr>
        <w:t>rther attempts at the examination.  Additional fees may</w:t>
      </w:r>
      <w:r>
        <w:rPr>
          <w:spacing w:val="-37"/>
          <w:sz w:val="20"/>
        </w:rPr>
        <w:t xml:space="preserve"> </w:t>
      </w:r>
      <w:r>
        <w:rPr>
          <w:sz w:val="20"/>
        </w:rPr>
        <w:t>apply.</w:t>
      </w:r>
    </w:p>
    <w:p w:rsidR="00664658" w:rsidRDefault="00664658">
      <w:pPr>
        <w:pStyle w:val="BodyText"/>
        <w:spacing w:before="10"/>
      </w:pPr>
    </w:p>
    <w:p w:rsidR="00664658" w:rsidRDefault="0081589F">
      <w:pPr>
        <w:pStyle w:val="ListParagraph"/>
        <w:numPr>
          <w:ilvl w:val="0"/>
          <w:numId w:val="3"/>
        </w:numPr>
        <w:tabs>
          <w:tab w:val="left" w:pos="2261"/>
        </w:tabs>
        <w:ind w:left="2259" w:right="120" w:hanging="719"/>
        <w:jc w:val="both"/>
        <w:rPr>
          <w:sz w:val="20"/>
        </w:rPr>
      </w:pPr>
      <w:r>
        <w:rPr>
          <w:sz w:val="20"/>
        </w:rPr>
        <w:t>Agree to comply with all relevant statutes, Division rules, and all Division-issued guidance (including materials incorporated by</w:t>
      </w:r>
      <w:r>
        <w:rPr>
          <w:spacing w:val="-29"/>
          <w:sz w:val="20"/>
        </w:rPr>
        <w:t xml:space="preserve"> </w:t>
      </w:r>
      <w:r>
        <w:rPr>
          <w:sz w:val="20"/>
        </w:rPr>
        <w:t>reference);</w:t>
      </w:r>
    </w:p>
    <w:p w:rsidR="00664658" w:rsidRDefault="00664658">
      <w:pPr>
        <w:pStyle w:val="BodyText"/>
        <w:rPr>
          <w:sz w:val="21"/>
        </w:rPr>
      </w:pPr>
    </w:p>
    <w:p w:rsidR="00664658" w:rsidRDefault="0081589F">
      <w:pPr>
        <w:pStyle w:val="ListParagraph"/>
        <w:numPr>
          <w:ilvl w:val="0"/>
          <w:numId w:val="3"/>
        </w:numPr>
        <w:tabs>
          <w:tab w:val="left" w:pos="2260"/>
        </w:tabs>
        <w:spacing w:before="1" w:line="237" w:lineRule="auto"/>
        <w:ind w:left="2259" w:right="118" w:hanging="720"/>
        <w:jc w:val="both"/>
        <w:rPr>
          <w:rFonts w:ascii="Times New Roman"/>
          <w:sz w:val="24"/>
        </w:rPr>
      </w:pPr>
      <w:r>
        <w:rPr>
          <w:sz w:val="20"/>
        </w:rPr>
        <w:t>The accreditation begins on the date the provider</w:t>
      </w:r>
      <w:r>
        <w:rPr>
          <w:sz w:val="20"/>
        </w:rPr>
        <w:t xml:space="preserve"> passes the examination. The accreditation expires on July </w:t>
      </w:r>
      <w:proofErr w:type="gramStart"/>
      <w:r>
        <w:rPr>
          <w:sz w:val="20"/>
        </w:rPr>
        <w:t>31</w:t>
      </w:r>
      <w:proofErr w:type="spellStart"/>
      <w:r>
        <w:rPr>
          <w:position w:val="6"/>
          <w:sz w:val="13"/>
        </w:rPr>
        <w:t>st</w:t>
      </w:r>
      <w:proofErr w:type="spellEnd"/>
      <w:proofErr w:type="gramEnd"/>
      <w:r>
        <w:rPr>
          <w:position w:val="6"/>
          <w:sz w:val="13"/>
        </w:rPr>
        <w:t xml:space="preserve"> </w:t>
      </w:r>
      <w:r>
        <w:rPr>
          <w:sz w:val="20"/>
        </w:rPr>
        <w:t>of the third year following the year the provider passed the</w:t>
      </w:r>
      <w:r>
        <w:rPr>
          <w:spacing w:val="-14"/>
          <w:sz w:val="20"/>
        </w:rPr>
        <w:t xml:space="preserve"> </w:t>
      </w:r>
      <w:r>
        <w:rPr>
          <w:sz w:val="20"/>
        </w:rPr>
        <w:t>examination</w:t>
      </w:r>
      <w:r>
        <w:rPr>
          <w:rFonts w:ascii="Times New Roman"/>
          <w:sz w:val="24"/>
        </w:rPr>
        <w:t>.</w:t>
      </w:r>
    </w:p>
    <w:p w:rsidR="00664658" w:rsidRDefault="00664658">
      <w:pPr>
        <w:pStyle w:val="BodyText"/>
        <w:spacing w:before="4"/>
        <w:rPr>
          <w:rFonts w:ascii="Times New Roman"/>
          <w:sz w:val="21"/>
        </w:rPr>
      </w:pPr>
    </w:p>
    <w:p w:rsidR="00664658" w:rsidRDefault="0081589F">
      <w:pPr>
        <w:pStyle w:val="ListParagraph"/>
        <w:numPr>
          <w:ilvl w:val="2"/>
          <w:numId w:val="4"/>
        </w:numPr>
        <w:tabs>
          <w:tab w:val="left" w:pos="1539"/>
          <w:tab w:val="left" w:pos="1540"/>
        </w:tabs>
        <w:ind w:hanging="719"/>
        <w:rPr>
          <w:sz w:val="20"/>
        </w:rPr>
      </w:pPr>
      <w:r>
        <w:rPr>
          <w:sz w:val="20"/>
        </w:rPr>
        <w:t>To obtain Level II Accreditation, a physician</w:t>
      </w:r>
      <w:r>
        <w:rPr>
          <w:spacing w:val="-22"/>
          <w:sz w:val="20"/>
        </w:rPr>
        <w:t xml:space="preserve"> </w:t>
      </w:r>
      <w:r>
        <w:rPr>
          <w:sz w:val="20"/>
        </w:rPr>
        <w:t>must:</w:t>
      </w:r>
    </w:p>
    <w:p w:rsidR="00664658" w:rsidRDefault="00664658">
      <w:pPr>
        <w:rPr>
          <w:sz w:val="20"/>
        </w:rPr>
        <w:sectPr w:rsidR="00664658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664658" w:rsidRDefault="00664658">
      <w:pPr>
        <w:pStyle w:val="BodyText"/>
      </w:pPr>
    </w:p>
    <w:p w:rsidR="00664658" w:rsidRDefault="00664658">
      <w:pPr>
        <w:pStyle w:val="BodyText"/>
        <w:spacing w:before="3"/>
        <w:rPr>
          <w:sz w:val="29"/>
        </w:rPr>
      </w:pPr>
    </w:p>
    <w:p w:rsidR="00664658" w:rsidRDefault="0081589F">
      <w:pPr>
        <w:pStyle w:val="ListParagraph"/>
        <w:numPr>
          <w:ilvl w:val="3"/>
          <w:numId w:val="4"/>
        </w:numPr>
        <w:tabs>
          <w:tab w:val="left" w:pos="2221"/>
        </w:tabs>
        <w:spacing w:before="93"/>
        <w:ind w:left="2220" w:right="119" w:hanging="720"/>
        <w:jc w:val="both"/>
        <w:rPr>
          <w:sz w:val="20"/>
        </w:rPr>
      </w:pPr>
      <w:r>
        <w:rPr>
          <w:sz w:val="20"/>
        </w:rPr>
        <w:t>Receive Level I accreditation. However, a physician</w:t>
      </w:r>
      <w:r>
        <w:rPr>
          <w:sz w:val="20"/>
        </w:rPr>
        <w:t xml:space="preserve"> who received his/her initial Level II accreditation before January 1, 2018 is exempt from this</w:t>
      </w:r>
      <w:r>
        <w:rPr>
          <w:spacing w:val="-38"/>
          <w:sz w:val="20"/>
        </w:rPr>
        <w:t xml:space="preserve"> </w:t>
      </w:r>
      <w:r>
        <w:rPr>
          <w:sz w:val="20"/>
        </w:rPr>
        <w:t>requirement.</w:t>
      </w:r>
    </w:p>
    <w:p w:rsidR="00664658" w:rsidRDefault="00664658">
      <w:pPr>
        <w:pStyle w:val="BodyText"/>
        <w:spacing w:before="5"/>
      </w:pPr>
    </w:p>
    <w:p w:rsidR="00664658" w:rsidRDefault="0081589F">
      <w:pPr>
        <w:pStyle w:val="BodyText"/>
        <w:tabs>
          <w:tab w:val="left" w:pos="2220"/>
        </w:tabs>
        <w:ind w:left="1499"/>
        <w:rPr>
          <w:rFonts w:ascii="Times New Roman" w:hAnsi="Times New Roman"/>
          <w:sz w:val="24"/>
        </w:rPr>
      </w:pPr>
      <w:r>
        <w:t>(2)</w:t>
      </w:r>
      <w:r>
        <w:tab/>
        <w:t>Qualify under § 8-42-101(3.5),</w:t>
      </w:r>
      <w:r>
        <w:rPr>
          <w:spacing w:val="-20"/>
        </w:rPr>
        <w:t xml:space="preserve"> </w:t>
      </w:r>
      <w:r>
        <w:t>C.R.S.</w:t>
      </w:r>
      <w:proofErr w:type="gramStart"/>
      <w:r>
        <w:rPr>
          <w:rFonts w:ascii="Times New Roman" w:hAnsi="Times New Roman"/>
          <w:sz w:val="24"/>
        </w:rPr>
        <w:t>;</w:t>
      </w:r>
      <w:proofErr w:type="gramEnd"/>
    </w:p>
    <w:p w:rsidR="00664658" w:rsidRDefault="00664658">
      <w:pPr>
        <w:pStyle w:val="BodyText"/>
        <w:spacing w:before="1"/>
        <w:rPr>
          <w:rFonts w:ascii="Times New Roman"/>
          <w:sz w:val="21"/>
        </w:rPr>
      </w:pPr>
    </w:p>
    <w:p w:rsidR="00664658" w:rsidRDefault="0081589F">
      <w:pPr>
        <w:pStyle w:val="ListParagraph"/>
        <w:numPr>
          <w:ilvl w:val="0"/>
          <w:numId w:val="2"/>
        </w:numPr>
        <w:tabs>
          <w:tab w:val="left" w:pos="2221"/>
        </w:tabs>
        <w:ind w:right="123" w:hanging="720"/>
        <w:jc w:val="both"/>
        <w:rPr>
          <w:sz w:val="20"/>
        </w:rPr>
      </w:pPr>
      <w:r>
        <w:rPr>
          <w:sz w:val="20"/>
        </w:rPr>
        <w:t>Complete an application form prescribed by the Division, pay the registration fee, and indicate if full or limited accreditation is</w:t>
      </w:r>
      <w:r>
        <w:rPr>
          <w:spacing w:val="-26"/>
          <w:sz w:val="20"/>
        </w:rPr>
        <w:t xml:space="preserve"> </w:t>
      </w:r>
      <w:r>
        <w:rPr>
          <w:sz w:val="20"/>
        </w:rPr>
        <w:t>sought;</w:t>
      </w:r>
    </w:p>
    <w:p w:rsidR="00664658" w:rsidRDefault="00664658">
      <w:pPr>
        <w:pStyle w:val="BodyText"/>
        <w:spacing w:before="10"/>
      </w:pPr>
    </w:p>
    <w:p w:rsidR="00664658" w:rsidRDefault="0081589F">
      <w:pPr>
        <w:pStyle w:val="ListParagraph"/>
        <w:numPr>
          <w:ilvl w:val="0"/>
          <w:numId w:val="2"/>
        </w:numPr>
        <w:tabs>
          <w:tab w:val="left" w:pos="2220"/>
          <w:tab w:val="left" w:pos="2221"/>
        </w:tabs>
        <w:ind w:hanging="720"/>
        <w:rPr>
          <w:sz w:val="20"/>
        </w:rPr>
      </w:pPr>
      <w:r>
        <w:rPr>
          <w:sz w:val="20"/>
        </w:rPr>
        <w:t>Complete the Division Level II</w:t>
      </w:r>
      <w:r>
        <w:rPr>
          <w:spacing w:val="-15"/>
          <w:sz w:val="20"/>
        </w:rPr>
        <w:t xml:space="preserve"> </w:t>
      </w:r>
      <w:r>
        <w:rPr>
          <w:sz w:val="20"/>
        </w:rPr>
        <w:t>course;</w:t>
      </w:r>
    </w:p>
    <w:p w:rsidR="00664658" w:rsidRDefault="00664658">
      <w:pPr>
        <w:pStyle w:val="BodyText"/>
        <w:spacing w:before="10"/>
      </w:pPr>
    </w:p>
    <w:p w:rsidR="00664658" w:rsidRDefault="0081589F">
      <w:pPr>
        <w:pStyle w:val="ListParagraph"/>
        <w:numPr>
          <w:ilvl w:val="0"/>
          <w:numId w:val="2"/>
        </w:numPr>
        <w:tabs>
          <w:tab w:val="left" w:pos="2221"/>
        </w:tabs>
        <w:ind w:left="2219" w:right="115" w:hanging="719"/>
        <w:jc w:val="both"/>
        <w:rPr>
          <w:sz w:val="20"/>
        </w:rPr>
      </w:pPr>
      <w:r>
        <w:rPr>
          <w:sz w:val="20"/>
        </w:rPr>
        <w:t xml:space="preserve">Demonstrate an understanding of the Division materials (including the </w:t>
      </w:r>
      <w:r>
        <w:rPr>
          <w:sz w:val="20"/>
          <w:u w:val="single"/>
        </w:rPr>
        <w:t>Ameri</w:t>
      </w:r>
      <w:r>
        <w:rPr>
          <w:sz w:val="20"/>
          <w:u w:val="single"/>
        </w:rPr>
        <w:t>can Medical Association Guides to the Evaluation of Permanent Impairment</w:t>
      </w:r>
      <w:r>
        <w:rPr>
          <w:sz w:val="20"/>
        </w:rPr>
        <w:t>, as incorporated by reference into § 8-42-101(3</w:t>
      </w:r>
      <w:proofErr w:type="gramStart"/>
      <w:r>
        <w:rPr>
          <w:sz w:val="20"/>
        </w:rPr>
        <w:t>)(</w:t>
      </w:r>
      <w:proofErr w:type="gramEnd"/>
      <w:r>
        <w:rPr>
          <w:sz w:val="20"/>
        </w:rPr>
        <w:t>a)(I), C.R.S. (‘AMA Guides’)) by passing a Division-administered examination. If the provider does not exhibit sufficient knowledge up</w:t>
      </w:r>
      <w:r>
        <w:rPr>
          <w:sz w:val="20"/>
        </w:rPr>
        <w:t>on taking the examination a second time, he or she must attend the seminar again prior to any further attempts at the examination. Additional fees may</w:t>
      </w:r>
      <w:r>
        <w:rPr>
          <w:spacing w:val="-13"/>
          <w:sz w:val="20"/>
        </w:rPr>
        <w:t xml:space="preserve"> </w:t>
      </w:r>
      <w:r>
        <w:rPr>
          <w:sz w:val="20"/>
        </w:rPr>
        <w:t>apply.</w:t>
      </w:r>
    </w:p>
    <w:p w:rsidR="00664658" w:rsidRDefault="00664658">
      <w:pPr>
        <w:pStyle w:val="BodyText"/>
        <w:spacing w:before="9"/>
      </w:pPr>
    </w:p>
    <w:p w:rsidR="00664658" w:rsidRDefault="0081589F">
      <w:pPr>
        <w:pStyle w:val="ListParagraph"/>
        <w:numPr>
          <w:ilvl w:val="1"/>
          <w:numId w:val="2"/>
        </w:numPr>
        <w:tabs>
          <w:tab w:val="left" w:pos="2941"/>
        </w:tabs>
        <w:ind w:right="116"/>
        <w:jc w:val="both"/>
        <w:rPr>
          <w:sz w:val="20"/>
        </w:rPr>
      </w:pPr>
      <w:r>
        <w:rPr>
          <w:sz w:val="20"/>
        </w:rPr>
        <w:t xml:space="preserve">Full Accreditation: A physician who passes the full Level II Accreditation examination </w:t>
      </w:r>
      <w:proofErr w:type="gramStart"/>
      <w:r>
        <w:rPr>
          <w:sz w:val="20"/>
        </w:rPr>
        <w:t>shall be fully accredited</w:t>
      </w:r>
      <w:proofErr w:type="gramEnd"/>
      <w:r>
        <w:rPr>
          <w:sz w:val="20"/>
        </w:rPr>
        <w:t xml:space="preserve"> to determine permanent impairment ratings on any work-related injury or</w:t>
      </w:r>
      <w:r>
        <w:rPr>
          <w:spacing w:val="-25"/>
          <w:sz w:val="20"/>
        </w:rPr>
        <w:t xml:space="preserve"> </w:t>
      </w:r>
      <w:r>
        <w:rPr>
          <w:sz w:val="20"/>
        </w:rPr>
        <w:t>illness.</w:t>
      </w:r>
    </w:p>
    <w:p w:rsidR="00664658" w:rsidRDefault="00664658">
      <w:pPr>
        <w:pStyle w:val="BodyText"/>
        <w:spacing w:before="9"/>
      </w:pPr>
    </w:p>
    <w:p w:rsidR="00664658" w:rsidRDefault="0081589F">
      <w:pPr>
        <w:pStyle w:val="ListParagraph"/>
        <w:numPr>
          <w:ilvl w:val="1"/>
          <w:numId w:val="2"/>
        </w:numPr>
        <w:tabs>
          <w:tab w:val="left" w:pos="2941"/>
        </w:tabs>
        <w:ind w:left="2939" w:right="117" w:hanging="719"/>
        <w:jc w:val="both"/>
        <w:rPr>
          <w:sz w:val="20"/>
        </w:rPr>
      </w:pPr>
      <w:r>
        <w:rPr>
          <w:sz w:val="20"/>
        </w:rPr>
        <w:t>Limited Accreditation: A physician who seeks Level II Accredi</w:t>
      </w:r>
      <w:r>
        <w:rPr>
          <w:sz w:val="20"/>
        </w:rPr>
        <w:t>tation to rate impairment only in connection with a specialty medical practice and who satisfactorily completes specified portions of the Level II  examination shall receive limited accreditation to determine permanent impairment ratings on the correspondi</w:t>
      </w:r>
      <w:r>
        <w:rPr>
          <w:sz w:val="20"/>
        </w:rPr>
        <w:t>ng sections of the AMA</w:t>
      </w:r>
      <w:r>
        <w:rPr>
          <w:spacing w:val="-34"/>
          <w:sz w:val="20"/>
        </w:rPr>
        <w:t xml:space="preserve"> </w:t>
      </w:r>
      <w:r>
        <w:rPr>
          <w:sz w:val="20"/>
        </w:rPr>
        <w:t>Guides.</w:t>
      </w:r>
    </w:p>
    <w:p w:rsidR="00664658" w:rsidRDefault="00664658">
      <w:pPr>
        <w:pStyle w:val="BodyText"/>
        <w:spacing w:before="9"/>
      </w:pPr>
    </w:p>
    <w:p w:rsidR="00664658" w:rsidRDefault="0081589F">
      <w:pPr>
        <w:pStyle w:val="ListParagraph"/>
        <w:numPr>
          <w:ilvl w:val="0"/>
          <w:numId w:val="2"/>
        </w:numPr>
        <w:tabs>
          <w:tab w:val="left" w:pos="2220"/>
        </w:tabs>
        <w:ind w:left="2219" w:right="120" w:hanging="720"/>
        <w:jc w:val="both"/>
        <w:rPr>
          <w:sz w:val="20"/>
        </w:rPr>
      </w:pPr>
      <w:r>
        <w:rPr>
          <w:sz w:val="20"/>
        </w:rPr>
        <w:t>Agree to comply with all relevant statutes, Division rules, and all Division-issued guidance (including materials incorporated by</w:t>
      </w:r>
      <w:r>
        <w:rPr>
          <w:spacing w:val="-30"/>
          <w:sz w:val="20"/>
        </w:rPr>
        <w:t xml:space="preserve"> </w:t>
      </w:r>
      <w:r>
        <w:rPr>
          <w:sz w:val="20"/>
        </w:rPr>
        <w:t>reference).</w:t>
      </w:r>
    </w:p>
    <w:p w:rsidR="00664658" w:rsidRDefault="00664658">
      <w:pPr>
        <w:pStyle w:val="BodyText"/>
        <w:spacing w:before="9"/>
      </w:pPr>
    </w:p>
    <w:p w:rsidR="00664658" w:rsidRDefault="0081589F">
      <w:pPr>
        <w:pStyle w:val="ListParagraph"/>
        <w:numPr>
          <w:ilvl w:val="0"/>
          <w:numId w:val="2"/>
        </w:numPr>
        <w:tabs>
          <w:tab w:val="left" w:pos="2220"/>
        </w:tabs>
        <w:ind w:left="2219" w:right="120" w:hanging="720"/>
        <w:jc w:val="both"/>
        <w:rPr>
          <w:sz w:val="20"/>
        </w:rPr>
      </w:pPr>
      <w:r>
        <w:rPr>
          <w:sz w:val="20"/>
        </w:rPr>
        <w:t>Submit his/her first three (3) impairment rating reports deemed sufficient by the Division within 12 months of passing the Level II accreditation examination;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</w:p>
    <w:p w:rsidR="00664658" w:rsidRDefault="00664658">
      <w:pPr>
        <w:pStyle w:val="BodyText"/>
        <w:spacing w:before="9"/>
      </w:pPr>
    </w:p>
    <w:p w:rsidR="00664658" w:rsidRDefault="0081589F">
      <w:pPr>
        <w:pStyle w:val="ListParagraph"/>
        <w:numPr>
          <w:ilvl w:val="0"/>
          <w:numId w:val="2"/>
        </w:numPr>
        <w:tabs>
          <w:tab w:val="left" w:pos="2220"/>
        </w:tabs>
        <w:ind w:left="2219" w:right="118" w:hanging="720"/>
        <w:jc w:val="both"/>
        <w:rPr>
          <w:sz w:val="20"/>
        </w:rPr>
      </w:pPr>
      <w:r>
        <w:rPr>
          <w:sz w:val="20"/>
        </w:rPr>
        <w:t>Agree to the probationary one-year Level II accreditation period beginning on the date the p</w:t>
      </w:r>
      <w:r>
        <w:rPr>
          <w:sz w:val="20"/>
        </w:rPr>
        <w:t xml:space="preserve">hysician passes the Level II accreditation examination. The probationary accreditation will expire if the physician fails to submit three (3) </w:t>
      </w:r>
      <w:proofErr w:type="gramStart"/>
      <w:r>
        <w:rPr>
          <w:sz w:val="20"/>
        </w:rPr>
        <w:t>impairment rating</w:t>
      </w:r>
      <w:proofErr w:type="gramEnd"/>
      <w:r>
        <w:rPr>
          <w:sz w:val="20"/>
        </w:rPr>
        <w:t xml:space="preserve"> reports deemed sufficient by the Division within one year of the examination. Non-probationary a</w:t>
      </w:r>
      <w:r>
        <w:rPr>
          <w:sz w:val="20"/>
        </w:rPr>
        <w:t xml:space="preserve">ccreditation begins on the date the physician submits his/her first three (3) </w:t>
      </w:r>
      <w:proofErr w:type="gramStart"/>
      <w:r>
        <w:rPr>
          <w:sz w:val="20"/>
        </w:rPr>
        <w:t>impairment rating</w:t>
      </w:r>
      <w:proofErr w:type="gramEnd"/>
      <w:r>
        <w:rPr>
          <w:sz w:val="20"/>
        </w:rPr>
        <w:t xml:space="preserve"> reports deemed sufficient by the Division. The non-probationary accreditation expires on January </w:t>
      </w:r>
      <w:proofErr w:type="gramStart"/>
      <w:r>
        <w:rPr>
          <w:sz w:val="20"/>
        </w:rPr>
        <w:t>31</w:t>
      </w:r>
      <w:r>
        <w:rPr>
          <w:position w:val="6"/>
          <w:sz w:val="13"/>
        </w:rPr>
        <w:t>ST</w:t>
      </w:r>
      <w:proofErr w:type="gramEnd"/>
      <w:r>
        <w:rPr>
          <w:position w:val="6"/>
          <w:sz w:val="13"/>
        </w:rPr>
        <w:t xml:space="preserve"> </w:t>
      </w:r>
      <w:r>
        <w:rPr>
          <w:sz w:val="20"/>
        </w:rPr>
        <w:t>of the third calendar year following the year the physicia</w:t>
      </w:r>
      <w:r>
        <w:rPr>
          <w:sz w:val="20"/>
        </w:rPr>
        <w:t>n successfully completed the Level II Accreditation</w:t>
      </w:r>
      <w:r>
        <w:rPr>
          <w:spacing w:val="-17"/>
          <w:sz w:val="20"/>
        </w:rPr>
        <w:t xml:space="preserve"> </w:t>
      </w:r>
      <w:r>
        <w:rPr>
          <w:sz w:val="20"/>
        </w:rPr>
        <w:t>examination.</w:t>
      </w:r>
    </w:p>
    <w:p w:rsidR="00664658" w:rsidRDefault="00664658">
      <w:pPr>
        <w:pStyle w:val="BodyText"/>
        <w:spacing w:before="9"/>
      </w:pPr>
    </w:p>
    <w:p w:rsidR="00664658" w:rsidRDefault="0081589F">
      <w:pPr>
        <w:pStyle w:val="ListParagraph"/>
        <w:numPr>
          <w:ilvl w:val="1"/>
          <w:numId w:val="4"/>
        </w:numPr>
        <w:tabs>
          <w:tab w:val="left" w:pos="779"/>
          <w:tab w:val="left" w:pos="781"/>
        </w:tabs>
        <w:ind w:left="780" w:hanging="665"/>
        <w:rPr>
          <w:sz w:val="20"/>
        </w:rPr>
      </w:pPr>
      <w:r>
        <w:rPr>
          <w:sz w:val="20"/>
        </w:rPr>
        <w:t>RENEWAL OF</w:t>
      </w:r>
      <w:r>
        <w:rPr>
          <w:spacing w:val="-5"/>
          <w:sz w:val="20"/>
        </w:rPr>
        <w:t xml:space="preserve"> </w:t>
      </w:r>
      <w:r>
        <w:rPr>
          <w:sz w:val="20"/>
        </w:rPr>
        <w:t>ACCREDITATION</w:t>
      </w:r>
    </w:p>
    <w:p w:rsidR="00664658" w:rsidRDefault="00664658">
      <w:pPr>
        <w:pStyle w:val="BodyText"/>
        <w:spacing w:before="9"/>
      </w:pPr>
    </w:p>
    <w:p w:rsidR="00664658" w:rsidRDefault="0081589F">
      <w:pPr>
        <w:pStyle w:val="ListParagraph"/>
        <w:numPr>
          <w:ilvl w:val="2"/>
          <w:numId w:val="4"/>
        </w:numPr>
        <w:tabs>
          <w:tab w:val="left" w:pos="1499"/>
          <w:tab w:val="left" w:pos="1500"/>
        </w:tabs>
        <w:ind w:left="1499" w:right="119" w:hanging="719"/>
        <w:rPr>
          <w:sz w:val="20"/>
        </w:rPr>
      </w:pPr>
      <w:r>
        <w:rPr>
          <w:sz w:val="20"/>
        </w:rPr>
        <w:t>The Division will attempt to notify accredited providers of impending expiration of their accreditation.</w:t>
      </w:r>
    </w:p>
    <w:p w:rsidR="00664658" w:rsidRDefault="00664658">
      <w:pPr>
        <w:rPr>
          <w:sz w:val="20"/>
        </w:rPr>
        <w:sectPr w:rsidR="00664658">
          <w:pgSz w:w="12240" w:h="15840"/>
          <w:pgMar w:top="1500" w:right="1320" w:bottom="280" w:left="1380" w:header="720" w:footer="720" w:gutter="0"/>
          <w:cols w:space="720"/>
        </w:sectPr>
      </w:pPr>
    </w:p>
    <w:p w:rsidR="00664658" w:rsidRDefault="00664658">
      <w:pPr>
        <w:pStyle w:val="BodyText"/>
      </w:pPr>
    </w:p>
    <w:p w:rsidR="00664658" w:rsidRDefault="00664658">
      <w:pPr>
        <w:pStyle w:val="BodyText"/>
        <w:spacing w:before="3"/>
        <w:rPr>
          <w:sz w:val="29"/>
        </w:rPr>
      </w:pPr>
    </w:p>
    <w:p w:rsidR="00664658" w:rsidRDefault="0081589F">
      <w:pPr>
        <w:pStyle w:val="ListParagraph"/>
        <w:numPr>
          <w:ilvl w:val="2"/>
          <w:numId w:val="4"/>
        </w:numPr>
        <w:tabs>
          <w:tab w:val="left" w:pos="1540"/>
        </w:tabs>
        <w:spacing w:before="93"/>
        <w:ind w:right="114" w:hanging="719"/>
        <w:jc w:val="both"/>
        <w:rPr>
          <w:sz w:val="20"/>
        </w:rPr>
      </w:pPr>
      <w:r>
        <w:rPr>
          <w:sz w:val="20"/>
        </w:rPr>
        <w:t>A provider who does not renew his or her accred</w:t>
      </w:r>
      <w:r>
        <w:rPr>
          <w:sz w:val="20"/>
        </w:rPr>
        <w:t>itation before the expiration date may reapply and complete the process for initial accreditation under section</w:t>
      </w:r>
      <w:r>
        <w:rPr>
          <w:spacing w:val="-38"/>
          <w:sz w:val="20"/>
        </w:rPr>
        <w:t xml:space="preserve"> </w:t>
      </w:r>
      <w:r>
        <w:rPr>
          <w:sz w:val="20"/>
        </w:rPr>
        <w:t>13-2.</w:t>
      </w:r>
    </w:p>
    <w:p w:rsidR="00664658" w:rsidRDefault="00664658">
      <w:pPr>
        <w:pStyle w:val="BodyText"/>
        <w:spacing w:before="7"/>
      </w:pPr>
    </w:p>
    <w:p w:rsidR="00664658" w:rsidRDefault="0081589F">
      <w:pPr>
        <w:pStyle w:val="ListParagraph"/>
        <w:numPr>
          <w:ilvl w:val="2"/>
          <w:numId w:val="4"/>
        </w:numPr>
        <w:tabs>
          <w:tab w:val="left" w:pos="1539"/>
          <w:tab w:val="left" w:pos="1540"/>
        </w:tabs>
        <w:spacing w:before="1"/>
        <w:rPr>
          <w:sz w:val="20"/>
        </w:rPr>
      </w:pPr>
      <w:r>
        <w:rPr>
          <w:sz w:val="20"/>
        </w:rPr>
        <w:t>To renew accreditation, a provider</w:t>
      </w:r>
      <w:r>
        <w:rPr>
          <w:spacing w:val="-18"/>
          <w:sz w:val="20"/>
        </w:rPr>
        <w:t xml:space="preserve"> </w:t>
      </w:r>
      <w:r>
        <w:rPr>
          <w:sz w:val="20"/>
        </w:rPr>
        <w:t>must:</w:t>
      </w:r>
    </w:p>
    <w:p w:rsidR="00664658" w:rsidRDefault="00664658">
      <w:pPr>
        <w:pStyle w:val="BodyText"/>
        <w:spacing w:before="10"/>
      </w:pPr>
    </w:p>
    <w:p w:rsidR="00664658" w:rsidRDefault="0081589F">
      <w:pPr>
        <w:pStyle w:val="BodyText"/>
        <w:tabs>
          <w:tab w:val="left" w:pos="2259"/>
        </w:tabs>
        <w:ind w:left="1539"/>
      </w:pPr>
      <w:r>
        <w:t>(1)</w:t>
      </w:r>
      <w:r>
        <w:tab/>
        <w:t>Qualify under § 8-42-101(3.5),</w:t>
      </w:r>
      <w:r>
        <w:rPr>
          <w:spacing w:val="-20"/>
        </w:rPr>
        <w:t xml:space="preserve"> </w:t>
      </w:r>
      <w:r>
        <w:t>C.R.S.</w:t>
      </w:r>
      <w:proofErr w:type="gramStart"/>
      <w:r>
        <w:t>;</w:t>
      </w:r>
      <w:proofErr w:type="gramEnd"/>
    </w:p>
    <w:p w:rsidR="00664658" w:rsidRDefault="00664658">
      <w:pPr>
        <w:pStyle w:val="BodyText"/>
        <w:spacing w:before="9"/>
      </w:pPr>
    </w:p>
    <w:p w:rsidR="00664658" w:rsidRDefault="0081589F">
      <w:pPr>
        <w:pStyle w:val="ListParagraph"/>
        <w:numPr>
          <w:ilvl w:val="0"/>
          <w:numId w:val="1"/>
        </w:numPr>
        <w:tabs>
          <w:tab w:val="left" w:pos="2260"/>
        </w:tabs>
        <w:spacing w:before="1"/>
        <w:ind w:right="123" w:hanging="720"/>
        <w:jc w:val="both"/>
        <w:rPr>
          <w:sz w:val="20"/>
        </w:rPr>
      </w:pPr>
      <w:r>
        <w:rPr>
          <w:sz w:val="20"/>
        </w:rPr>
        <w:t>Complete an application form prescribed by the Division, pay the registration fee, and,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  <w:r>
        <w:rPr>
          <w:spacing w:val="-6"/>
          <w:sz w:val="20"/>
        </w:rPr>
        <w:t xml:space="preserve"> </w:t>
      </w:r>
      <w:r>
        <w:rPr>
          <w:sz w:val="20"/>
        </w:rPr>
        <w:t>II</w:t>
      </w:r>
      <w:r>
        <w:rPr>
          <w:spacing w:val="-4"/>
          <w:sz w:val="20"/>
        </w:rPr>
        <w:t xml:space="preserve"> </w:t>
      </w:r>
      <w:r>
        <w:rPr>
          <w:sz w:val="20"/>
        </w:rPr>
        <w:t>accreditation,</w:t>
      </w:r>
      <w:r>
        <w:rPr>
          <w:spacing w:val="-4"/>
          <w:sz w:val="20"/>
        </w:rPr>
        <w:t xml:space="preserve"> </w:t>
      </w:r>
      <w:r>
        <w:rPr>
          <w:sz w:val="20"/>
        </w:rPr>
        <w:t>indicate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full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limited</w:t>
      </w:r>
      <w:r>
        <w:rPr>
          <w:spacing w:val="-3"/>
          <w:sz w:val="20"/>
        </w:rPr>
        <w:t xml:space="preserve"> </w:t>
      </w:r>
      <w:r>
        <w:rPr>
          <w:sz w:val="20"/>
        </w:rPr>
        <w:t>reaccreditation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sought;</w:t>
      </w:r>
    </w:p>
    <w:p w:rsidR="00664658" w:rsidRDefault="00664658">
      <w:pPr>
        <w:pStyle w:val="BodyText"/>
        <w:spacing w:before="10"/>
      </w:pPr>
    </w:p>
    <w:p w:rsidR="00664658" w:rsidRDefault="0081589F">
      <w:pPr>
        <w:pStyle w:val="ListParagraph"/>
        <w:numPr>
          <w:ilvl w:val="0"/>
          <w:numId w:val="1"/>
        </w:numPr>
        <w:tabs>
          <w:tab w:val="left" w:pos="2261"/>
        </w:tabs>
        <w:ind w:right="121" w:hanging="720"/>
        <w:jc w:val="both"/>
        <w:rPr>
          <w:sz w:val="20"/>
        </w:rPr>
      </w:pPr>
      <w:r>
        <w:rPr>
          <w:sz w:val="20"/>
        </w:rPr>
        <w:t>Complete the Division course requirements for the highest level of accreditation maintained;</w:t>
      </w:r>
    </w:p>
    <w:p w:rsidR="00664658" w:rsidRDefault="00664658">
      <w:pPr>
        <w:pStyle w:val="BodyText"/>
        <w:spacing w:before="7"/>
      </w:pPr>
    </w:p>
    <w:p w:rsidR="00664658" w:rsidRDefault="0081589F">
      <w:pPr>
        <w:pStyle w:val="ListParagraph"/>
        <w:numPr>
          <w:ilvl w:val="0"/>
          <w:numId w:val="1"/>
        </w:numPr>
        <w:tabs>
          <w:tab w:val="left" w:pos="2259"/>
          <w:tab w:val="left" w:pos="2261"/>
        </w:tabs>
        <w:ind w:left="2260"/>
        <w:rPr>
          <w:sz w:val="20"/>
        </w:rPr>
      </w:pPr>
      <w:r>
        <w:rPr>
          <w:sz w:val="20"/>
        </w:rPr>
        <w:t>Agree to comply with all relevant statutes and Division rules;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</w:p>
    <w:p w:rsidR="00664658" w:rsidRDefault="00664658">
      <w:pPr>
        <w:pStyle w:val="BodyText"/>
        <w:spacing w:before="9"/>
      </w:pPr>
    </w:p>
    <w:p w:rsidR="00664658" w:rsidRDefault="0081589F">
      <w:pPr>
        <w:pStyle w:val="ListParagraph"/>
        <w:numPr>
          <w:ilvl w:val="0"/>
          <w:numId w:val="1"/>
        </w:numPr>
        <w:tabs>
          <w:tab w:val="left" w:pos="2261"/>
        </w:tabs>
        <w:spacing w:before="1"/>
        <w:ind w:left="2260" w:right="117" w:hanging="720"/>
        <w:jc w:val="both"/>
        <w:rPr>
          <w:sz w:val="20"/>
        </w:rPr>
      </w:pPr>
      <w:r>
        <w:rPr>
          <w:sz w:val="20"/>
        </w:rPr>
        <w:t>For Level II reaccreditation only, submit one impairment rating report deemed sufficient by th</w:t>
      </w:r>
      <w:r>
        <w:rPr>
          <w:sz w:val="20"/>
        </w:rPr>
        <w:t xml:space="preserve">e Division (which may be a Division Independent Medical Examination report) for audit. The purpose of providing an impairment report </w:t>
      </w:r>
      <w:proofErr w:type="gramStart"/>
      <w:r>
        <w:rPr>
          <w:sz w:val="20"/>
        </w:rPr>
        <w:t>is  to</w:t>
      </w:r>
      <w:proofErr w:type="gramEnd"/>
      <w:r>
        <w:rPr>
          <w:sz w:val="20"/>
        </w:rPr>
        <w:t xml:space="preserve"> demonstrate an understanding of the requirements of a sufficient impairment rating report; to educate and provide fe</w:t>
      </w:r>
      <w:r>
        <w:rPr>
          <w:sz w:val="20"/>
        </w:rPr>
        <w:t>edback to the physician; and to assist the Division in examining its curriculum. Any correspondence or communication regarding this process is confidential and shall not be subject to discovery or examination by any</w:t>
      </w:r>
      <w:r>
        <w:rPr>
          <w:spacing w:val="-17"/>
          <w:sz w:val="20"/>
        </w:rPr>
        <w:t xml:space="preserve"> </w:t>
      </w:r>
      <w:r>
        <w:rPr>
          <w:sz w:val="20"/>
        </w:rPr>
        <w:t>person.</w:t>
      </w:r>
    </w:p>
    <w:p w:rsidR="00664658" w:rsidRDefault="00664658">
      <w:pPr>
        <w:pStyle w:val="BodyText"/>
        <w:spacing w:before="10"/>
      </w:pPr>
    </w:p>
    <w:p w:rsidR="00664658" w:rsidRDefault="0081589F">
      <w:pPr>
        <w:pStyle w:val="ListParagraph"/>
        <w:numPr>
          <w:ilvl w:val="1"/>
          <w:numId w:val="4"/>
        </w:numPr>
        <w:tabs>
          <w:tab w:val="left" w:pos="819"/>
          <w:tab w:val="left" w:pos="820"/>
        </w:tabs>
        <w:ind w:left="820"/>
        <w:rPr>
          <w:sz w:val="20"/>
        </w:rPr>
      </w:pPr>
      <w:r>
        <w:rPr>
          <w:sz w:val="20"/>
        </w:rPr>
        <w:t>SANCTIONS UPON</w:t>
      </w:r>
      <w:r>
        <w:rPr>
          <w:spacing w:val="-8"/>
          <w:sz w:val="20"/>
        </w:rPr>
        <w:t xml:space="preserve"> </w:t>
      </w:r>
      <w:r>
        <w:rPr>
          <w:sz w:val="20"/>
        </w:rPr>
        <w:t>ACCREDITATION</w:t>
      </w:r>
    </w:p>
    <w:p w:rsidR="00664658" w:rsidRDefault="00664658">
      <w:pPr>
        <w:pStyle w:val="BodyText"/>
        <w:spacing w:before="9"/>
      </w:pPr>
    </w:p>
    <w:p w:rsidR="00664658" w:rsidRDefault="0081589F">
      <w:pPr>
        <w:pStyle w:val="ListParagraph"/>
        <w:numPr>
          <w:ilvl w:val="2"/>
          <w:numId w:val="4"/>
        </w:numPr>
        <w:tabs>
          <w:tab w:val="left" w:pos="1540"/>
        </w:tabs>
        <w:spacing w:before="1"/>
        <w:ind w:right="117" w:hanging="719"/>
        <w:jc w:val="both"/>
        <w:rPr>
          <w:sz w:val="20"/>
        </w:rPr>
      </w:pPr>
      <w:r>
        <w:rPr>
          <w:sz w:val="20"/>
        </w:rPr>
        <w:t>The Director, with input from the Medical Director, may initiate proceedings to sanction a Level I or Level II Accreditation on any of the following</w:t>
      </w:r>
      <w:r>
        <w:rPr>
          <w:spacing w:val="-29"/>
          <w:sz w:val="20"/>
        </w:rPr>
        <w:t xml:space="preserve"> </w:t>
      </w:r>
      <w:r>
        <w:rPr>
          <w:sz w:val="20"/>
        </w:rPr>
        <w:t>grounds:</w:t>
      </w:r>
    </w:p>
    <w:p w:rsidR="00664658" w:rsidRDefault="00664658">
      <w:pPr>
        <w:pStyle w:val="BodyText"/>
        <w:spacing w:before="8"/>
      </w:pPr>
    </w:p>
    <w:p w:rsidR="00664658" w:rsidRDefault="0081589F">
      <w:pPr>
        <w:pStyle w:val="ListParagraph"/>
        <w:numPr>
          <w:ilvl w:val="3"/>
          <w:numId w:val="4"/>
        </w:numPr>
        <w:tabs>
          <w:tab w:val="left" w:pos="2261"/>
        </w:tabs>
        <w:ind w:right="119"/>
        <w:jc w:val="both"/>
        <w:rPr>
          <w:sz w:val="20"/>
        </w:rPr>
      </w:pPr>
      <w:r>
        <w:rPr>
          <w:sz w:val="20"/>
        </w:rPr>
        <w:t>Refusal to comply, substantial failure to comply, or two or more incidents of failure to comply w</w:t>
      </w:r>
      <w:r>
        <w:rPr>
          <w:sz w:val="20"/>
        </w:rPr>
        <w:t>ith the provisions of these Workers’ Compensation Rules of Procedure and all relevant</w:t>
      </w:r>
      <w:r>
        <w:rPr>
          <w:spacing w:val="-19"/>
          <w:sz w:val="20"/>
        </w:rPr>
        <w:t xml:space="preserve"> </w:t>
      </w:r>
      <w:r>
        <w:rPr>
          <w:sz w:val="20"/>
        </w:rPr>
        <w:t>statutes.</w:t>
      </w:r>
    </w:p>
    <w:p w:rsidR="00664658" w:rsidRDefault="00664658">
      <w:pPr>
        <w:pStyle w:val="BodyText"/>
        <w:spacing w:before="10"/>
      </w:pPr>
    </w:p>
    <w:p w:rsidR="00664658" w:rsidRDefault="0081589F">
      <w:pPr>
        <w:pStyle w:val="ListParagraph"/>
        <w:numPr>
          <w:ilvl w:val="3"/>
          <w:numId w:val="4"/>
        </w:numPr>
        <w:tabs>
          <w:tab w:val="left" w:pos="2259"/>
          <w:tab w:val="left" w:pos="2261"/>
        </w:tabs>
        <w:rPr>
          <w:sz w:val="20"/>
        </w:rPr>
      </w:pPr>
      <w:r>
        <w:rPr>
          <w:sz w:val="20"/>
        </w:rPr>
        <w:t>Misrepresentation on the application for accreditation,</w:t>
      </w:r>
      <w:r>
        <w:rPr>
          <w:spacing w:val="-29"/>
          <w:sz w:val="20"/>
        </w:rPr>
        <w:t xml:space="preserve"> </w:t>
      </w:r>
      <w:r>
        <w:rPr>
          <w:sz w:val="20"/>
        </w:rPr>
        <w:t>or</w:t>
      </w:r>
    </w:p>
    <w:p w:rsidR="00664658" w:rsidRDefault="00664658">
      <w:pPr>
        <w:pStyle w:val="BodyText"/>
        <w:spacing w:before="10"/>
      </w:pPr>
    </w:p>
    <w:p w:rsidR="00664658" w:rsidRDefault="0081589F">
      <w:pPr>
        <w:pStyle w:val="ListParagraph"/>
        <w:numPr>
          <w:ilvl w:val="3"/>
          <w:numId w:val="4"/>
        </w:numPr>
        <w:tabs>
          <w:tab w:val="left" w:pos="2261"/>
        </w:tabs>
        <w:ind w:right="120" w:hanging="720"/>
        <w:jc w:val="both"/>
        <w:rPr>
          <w:sz w:val="20"/>
        </w:rPr>
      </w:pPr>
      <w:r>
        <w:rPr>
          <w:sz w:val="20"/>
        </w:rPr>
        <w:t>A unanimous recommendation to revoke accreditation by a reviewing panel pursuant to § 8-43-501(3</w:t>
      </w:r>
      <w:proofErr w:type="gramStart"/>
      <w:r>
        <w:rPr>
          <w:sz w:val="20"/>
        </w:rPr>
        <w:t>)(</w:t>
      </w:r>
      <w:proofErr w:type="gramEnd"/>
      <w:r>
        <w:rPr>
          <w:sz w:val="20"/>
        </w:rPr>
        <w:t>c</w:t>
      </w:r>
      <w:r>
        <w:rPr>
          <w:sz w:val="20"/>
        </w:rPr>
        <w:t>)(III) and (4),</w:t>
      </w:r>
      <w:r>
        <w:rPr>
          <w:spacing w:val="-29"/>
          <w:sz w:val="20"/>
        </w:rPr>
        <w:t xml:space="preserve"> </w:t>
      </w:r>
      <w:r>
        <w:rPr>
          <w:sz w:val="20"/>
        </w:rPr>
        <w:t>C.R.S..</w:t>
      </w:r>
    </w:p>
    <w:p w:rsidR="00664658" w:rsidRDefault="00664658">
      <w:pPr>
        <w:pStyle w:val="BodyText"/>
        <w:spacing w:before="10"/>
      </w:pPr>
    </w:p>
    <w:p w:rsidR="00664658" w:rsidRDefault="0081589F">
      <w:pPr>
        <w:pStyle w:val="ListParagraph"/>
        <w:numPr>
          <w:ilvl w:val="2"/>
          <w:numId w:val="4"/>
        </w:numPr>
        <w:tabs>
          <w:tab w:val="left" w:pos="1540"/>
        </w:tabs>
        <w:ind w:right="120" w:hanging="719"/>
        <w:jc w:val="both"/>
        <w:rPr>
          <w:sz w:val="20"/>
        </w:rPr>
      </w:pPr>
      <w:r>
        <w:rPr>
          <w:sz w:val="20"/>
        </w:rPr>
        <w:t>The severity of any sanctions taken under these rules shall reflect the character of the failure and the attendant circumstances. Examples of sanctions include, but are not limited to, a suspension or a revocation of</w:t>
      </w:r>
      <w:r>
        <w:rPr>
          <w:spacing w:val="-30"/>
          <w:sz w:val="20"/>
        </w:rPr>
        <w:t xml:space="preserve"> </w:t>
      </w:r>
      <w:r>
        <w:rPr>
          <w:sz w:val="20"/>
        </w:rPr>
        <w:t>accreditation.</w:t>
      </w:r>
    </w:p>
    <w:p w:rsidR="00664658" w:rsidRDefault="00664658">
      <w:pPr>
        <w:pStyle w:val="BodyText"/>
        <w:spacing w:before="10"/>
      </w:pPr>
    </w:p>
    <w:p w:rsidR="00664658" w:rsidRDefault="0081589F">
      <w:pPr>
        <w:pStyle w:val="ListParagraph"/>
        <w:numPr>
          <w:ilvl w:val="2"/>
          <w:numId w:val="4"/>
        </w:numPr>
        <w:tabs>
          <w:tab w:val="left" w:pos="1540"/>
        </w:tabs>
        <w:ind w:right="116"/>
        <w:jc w:val="both"/>
        <w:rPr>
          <w:sz w:val="20"/>
        </w:rPr>
      </w:pPr>
      <w:r>
        <w:rPr>
          <w:sz w:val="20"/>
        </w:rPr>
        <w:t xml:space="preserve">A proceeding to sanction a Level I or Level II Accreditation </w:t>
      </w:r>
      <w:proofErr w:type="gramStart"/>
      <w:r>
        <w:rPr>
          <w:sz w:val="20"/>
        </w:rPr>
        <w:t>may be initiated</w:t>
      </w:r>
      <w:proofErr w:type="gramEnd"/>
      <w:r>
        <w:rPr>
          <w:sz w:val="20"/>
        </w:rPr>
        <w:t xml:space="preserve"> by the Director, with input from the Medical Director, with referral for a hearing before an administrative law</w:t>
      </w:r>
      <w:r>
        <w:rPr>
          <w:spacing w:val="-14"/>
          <w:sz w:val="20"/>
        </w:rPr>
        <w:t xml:space="preserve"> </w:t>
      </w:r>
      <w:r>
        <w:rPr>
          <w:sz w:val="20"/>
        </w:rPr>
        <w:t>judge.</w:t>
      </w:r>
    </w:p>
    <w:p w:rsidR="00664658" w:rsidRDefault="00664658">
      <w:pPr>
        <w:pStyle w:val="BodyText"/>
        <w:spacing w:before="10"/>
      </w:pPr>
    </w:p>
    <w:p w:rsidR="00664658" w:rsidRDefault="0081589F">
      <w:pPr>
        <w:pStyle w:val="ListParagraph"/>
        <w:numPr>
          <w:ilvl w:val="2"/>
          <w:numId w:val="4"/>
        </w:numPr>
        <w:tabs>
          <w:tab w:val="left" w:pos="1541"/>
        </w:tabs>
        <w:ind w:left="1540" w:right="117"/>
        <w:jc w:val="both"/>
        <w:rPr>
          <w:sz w:val="20"/>
        </w:rPr>
      </w:pPr>
      <w:r>
        <w:rPr>
          <w:sz w:val="20"/>
        </w:rPr>
        <w:t xml:space="preserve">Following a hearing, the administrative law judge shall </w:t>
      </w:r>
      <w:r>
        <w:rPr>
          <w:sz w:val="20"/>
        </w:rPr>
        <w:t>render proposed findings of fact and conclusions of law, and make recommendations to the Director, who shall enter an order in the</w:t>
      </w:r>
      <w:r>
        <w:rPr>
          <w:spacing w:val="-10"/>
          <w:sz w:val="20"/>
        </w:rPr>
        <w:t xml:space="preserve"> </w:t>
      </w:r>
      <w:r>
        <w:rPr>
          <w:sz w:val="20"/>
        </w:rPr>
        <w:t>case.</w:t>
      </w:r>
    </w:p>
    <w:sectPr w:rsidR="00664658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4F5D"/>
    <w:multiLevelType w:val="hybridMultilevel"/>
    <w:tmpl w:val="F0AEE8BE"/>
    <w:lvl w:ilvl="0" w:tplc="43CAE6FC">
      <w:start w:val="2"/>
      <w:numFmt w:val="decimal"/>
      <w:lvlText w:val="(%1)"/>
      <w:lvlJc w:val="left"/>
      <w:pPr>
        <w:ind w:left="2260" w:hanging="7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AD29574">
      <w:numFmt w:val="bullet"/>
      <w:lvlText w:val="•"/>
      <w:lvlJc w:val="left"/>
      <w:pPr>
        <w:ind w:left="2992" w:hanging="721"/>
      </w:pPr>
      <w:rPr>
        <w:rFonts w:hint="default"/>
      </w:rPr>
    </w:lvl>
    <w:lvl w:ilvl="2" w:tplc="2A3C8ACC">
      <w:numFmt w:val="bullet"/>
      <w:lvlText w:val="•"/>
      <w:lvlJc w:val="left"/>
      <w:pPr>
        <w:ind w:left="3724" w:hanging="721"/>
      </w:pPr>
      <w:rPr>
        <w:rFonts w:hint="default"/>
      </w:rPr>
    </w:lvl>
    <w:lvl w:ilvl="3" w:tplc="1FB61548">
      <w:numFmt w:val="bullet"/>
      <w:lvlText w:val="•"/>
      <w:lvlJc w:val="left"/>
      <w:pPr>
        <w:ind w:left="4456" w:hanging="721"/>
      </w:pPr>
      <w:rPr>
        <w:rFonts w:hint="default"/>
      </w:rPr>
    </w:lvl>
    <w:lvl w:ilvl="4" w:tplc="C2B299D8">
      <w:numFmt w:val="bullet"/>
      <w:lvlText w:val="•"/>
      <w:lvlJc w:val="left"/>
      <w:pPr>
        <w:ind w:left="5188" w:hanging="721"/>
      </w:pPr>
      <w:rPr>
        <w:rFonts w:hint="default"/>
      </w:rPr>
    </w:lvl>
    <w:lvl w:ilvl="5" w:tplc="7E40E9C4">
      <w:numFmt w:val="bullet"/>
      <w:lvlText w:val="•"/>
      <w:lvlJc w:val="left"/>
      <w:pPr>
        <w:ind w:left="5920" w:hanging="721"/>
      </w:pPr>
      <w:rPr>
        <w:rFonts w:hint="default"/>
      </w:rPr>
    </w:lvl>
    <w:lvl w:ilvl="6" w:tplc="ABE4BF18">
      <w:numFmt w:val="bullet"/>
      <w:lvlText w:val="•"/>
      <w:lvlJc w:val="left"/>
      <w:pPr>
        <w:ind w:left="6652" w:hanging="721"/>
      </w:pPr>
      <w:rPr>
        <w:rFonts w:hint="default"/>
      </w:rPr>
    </w:lvl>
    <w:lvl w:ilvl="7" w:tplc="AA62DF98">
      <w:numFmt w:val="bullet"/>
      <w:lvlText w:val="•"/>
      <w:lvlJc w:val="left"/>
      <w:pPr>
        <w:ind w:left="7384" w:hanging="721"/>
      </w:pPr>
      <w:rPr>
        <w:rFonts w:hint="default"/>
      </w:rPr>
    </w:lvl>
    <w:lvl w:ilvl="8" w:tplc="46F6A812">
      <w:numFmt w:val="bullet"/>
      <w:lvlText w:val="•"/>
      <w:lvlJc w:val="left"/>
      <w:pPr>
        <w:ind w:left="8116" w:hanging="721"/>
      </w:pPr>
      <w:rPr>
        <w:rFonts w:hint="default"/>
      </w:rPr>
    </w:lvl>
  </w:abstractNum>
  <w:abstractNum w:abstractNumId="1" w15:restartNumberingAfterBreak="0">
    <w:nsid w:val="25317528"/>
    <w:multiLevelType w:val="multilevel"/>
    <w:tmpl w:val="9EACBA3A"/>
    <w:lvl w:ilvl="0">
      <w:start w:val="13"/>
      <w:numFmt w:val="decimal"/>
      <w:lvlText w:val="%1"/>
      <w:lvlJc w:val="left"/>
      <w:pPr>
        <w:ind w:left="819" w:hanging="720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19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(%3)"/>
      <w:lvlJc w:val="left"/>
      <w:pPr>
        <w:ind w:left="1539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260" w:hanging="7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260" w:hanging="721"/>
      </w:pPr>
      <w:rPr>
        <w:rFonts w:hint="default"/>
      </w:rPr>
    </w:lvl>
    <w:lvl w:ilvl="5">
      <w:numFmt w:val="bullet"/>
      <w:lvlText w:val="•"/>
      <w:lvlJc w:val="left"/>
      <w:pPr>
        <w:ind w:left="3473" w:hanging="721"/>
      </w:pPr>
      <w:rPr>
        <w:rFonts w:hint="default"/>
      </w:rPr>
    </w:lvl>
    <w:lvl w:ilvl="6">
      <w:numFmt w:val="bullet"/>
      <w:lvlText w:val="•"/>
      <w:lvlJc w:val="left"/>
      <w:pPr>
        <w:ind w:left="4686" w:hanging="721"/>
      </w:pPr>
      <w:rPr>
        <w:rFonts w:hint="default"/>
      </w:rPr>
    </w:lvl>
    <w:lvl w:ilvl="7">
      <w:numFmt w:val="bullet"/>
      <w:lvlText w:val="•"/>
      <w:lvlJc w:val="left"/>
      <w:pPr>
        <w:ind w:left="5900" w:hanging="721"/>
      </w:pPr>
      <w:rPr>
        <w:rFonts w:hint="default"/>
      </w:rPr>
    </w:lvl>
    <w:lvl w:ilvl="8">
      <w:numFmt w:val="bullet"/>
      <w:lvlText w:val="•"/>
      <w:lvlJc w:val="left"/>
      <w:pPr>
        <w:ind w:left="7113" w:hanging="721"/>
      </w:pPr>
      <w:rPr>
        <w:rFonts w:hint="default"/>
      </w:rPr>
    </w:lvl>
  </w:abstractNum>
  <w:abstractNum w:abstractNumId="2" w15:restartNumberingAfterBreak="0">
    <w:nsid w:val="28A20EA8"/>
    <w:multiLevelType w:val="hybridMultilevel"/>
    <w:tmpl w:val="CF3E16E0"/>
    <w:lvl w:ilvl="0" w:tplc="CF08F0A6">
      <w:start w:val="2"/>
      <w:numFmt w:val="decimal"/>
      <w:lvlText w:val="(%1)"/>
      <w:lvlJc w:val="left"/>
      <w:pPr>
        <w:ind w:left="2259" w:hanging="7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1CE0E7C">
      <w:numFmt w:val="bullet"/>
      <w:lvlText w:val="•"/>
      <w:lvlJc w:val="left"/>
      <w:pPr>
        <w:ind w:left="2992" w:hanging="721"/>
      </w:pPr>
      <w:rPr>
        <w:rFonts w:hint="default"/>
      </w:rPr>
    </w:lvl>
    <w:lvl w:ilvl="2" w:tplc="08D8C1CE">
      <w:numFmt w:val="bullet"/>
      <w:lvlText w:val="•"/>
      <w:lvlJc w:val="left"/>
      <w:pPr>
        <w:ind w:left="3724" w:hanging="721"/>
      </w:pPr>
      <w:rPr>
        <w:rFonts w:hint="default"/>
      </w:rPr>
    </w:lvl>
    <w:lvl w:ilvl="3" w:tplc="76D675D0">
      <w:numFmt w:val="bullet"/>
      <w:lvlText w:val="•"/>
      <w:lvlJc w:val="left"/>
      <w:pPr>
        <w:ind w:left="4456" w:hanging="721"/>
      </w:pPr>
      <w:rPr>
        <w:rFonts w:hint="default"/>
      </w:rPr>
    </w:lvl>
    <w:lvl w:ilvl="4" w:tplc="13785074">
      <w:numFmt w:val="bullet"/>
      <w:lvlText w:val="•"/>
      <w:lvlJc w:val="left"/>
      <w:pPr>
        <w:ind w:left="5188" w:hanging="721"/>
      </w:pPr>
      <w:rPr>
        <w:rFonts w:hint="default"/>
      </w:rPr>
    </w:lvl>
    <w:lvl w:ilvl="5" w:tplc="0398316A">
      <w:numFmt w:val="bullet"/>
      <w:lvlText w:val="•"/>
      <w:lvlJc w:val="left"/>
      <w:pPr>
        <w:ind w:left="5920" w:hanging="721"/>
      </w:pPr>
      <w:rPr>
        <w:rFonts w:hint="default"/>
      </w:rPr>
    </w:lvl>
    <w:lvl w:ilvl="6" w:tplc="20B069FE">
      <w:numFmt w:val="bullet"/>
      <w:lvlText w:val="•"/>
      <w:lvlJc w:val="left"/>
      <w:pPr>
        <w:ind w:left="6652" w:hanging="721"/>
      </w:pPr>
      <w:rPr>
        <w:rFonts w:hint="default"/>
      </w:rPr>
    </w:lvl>
    <w:lvl w:ilvl="7" w:tplc="C614761A">
      <w:numFmt w:val="bullet"/>
      <w:lvlText w:val="•"/>
      <w:lvlJc w:val="left"/>
      <w:pPr>
        <w:ind w:left="7384" w:hanging="721"/>
      </w:pPr>
      <w:rPr>
        <w:rFonts w:hint="default"/>
      </w:rPr>
    </w:lvl>
    <w:lvl w:ilvl="8" w:tplc="687A8F74">
      <w:numFmt w:val="bullet"/>
      <w:lvlText w:val="•"/>
      <w:lvlJc w:val="left"/>
      <w:pPr>
        <w:ind w:left="8116" w:hanging="721"/>
      </w:pPr>
      <w:rPr>
        <w:rFonts w:hint="default"/>
      </w:rPr>
    </w:lvl>
  </w:abstractNum>
  <w:abstractNum w:abstractNumId="3" w15:restartNumberingAfterBreak="0">
    <w:nsid w:val="64C8208A"/>
    <w:multiLevelType w:val="hybridMultilevel"/>
    <w:tmpl w:val="0F1277C0"/>
    <w:lvl w:ilvl="0" w:tplc="7026C374">
      <w:start w:val="3"/>
      <w:numFmt w:val="decimal"/>
      <w:lvlText w:val="(%1)"/>
      <w:lvlJc w:val="left"/>
      <w:pPr>
        <w:ind w:left="2220" w:hanging="7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064B978">
      <w:start w:val="1"/>
      <w:numFmt w:val="lowerRoman"/>
      <w:lvlText w:val="(%2)"/>
      <w:lvlJc w:val="left"/>
      <w:pPr>
        <w:ind w:left="2940" w:hanging="7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D7F0C510">
      <w:numFmt w:val="bullet"/>
      <w:lvlText w:val="•"/>
      <w:lvlJc w:val="left"/>
      <w:pPr>
        <w:ind w:left="3673" w:hanging="721"/>
      </w:pPr>
      <w:rPr>
        <w:rFonts w:hint="default"/>
      </w:rPr>
    </w:lvl>
    <w:lvl w:ilvl="3" w:tplc="A0485B7A">
      <w:numFmt w:val="bullet"/>
      <w:lvlText w:val="•"/>
      <w:lvlJc w:val="left"/>
      <w:pPr>
        <w:ind w:left="4406" w:hanging="721"/>
      </w:pPr>
      <w:rPr>
        <w:rFonts w:hint="default"/>
      </w:rPr>
    </w:lvl>
    <w:lvl w:ilvl="4" w:tplc="DABCDD96">
      <w:numFmt w:val="bullet"/>
      <w:lvlText w:val="•"/>
      <w:lvlJc w:val="left"/>
      <w:pPr>
        <w:ind w:left="5140" w:hanging="721"/>
      </w:pPr>
      <w:rPr>
        <w:rFonts w:hint="default"/>
      </w:rPr>
    </w:lvl>
    <w:lvl w:ilvl="5" w:tplc="81204398">
      <w:numFmt w:val="bullet"/>
      <w:lvlText w:val="•"/>
      <w:lvlJc w:val="left"/>
      <w:pPr>
        <w:ind w:left="5873" w:hanging="721"/>
      </w:pPr>
      <w:rPr>
        <w:rFonts w:hint="default"/>
      </w:rPr>
    </w:lvl>
    <w:lvl w:ilvl="6" w:tplc="8FF2DBF0">
      <w:numFmt w:val="bullet"/>
      <w:lvlText w:val="•"/>
      <w:lvlJc w:val="left"/>
      <w:pPr>
        <w:ind w:left="6606" w:hanging="721"/>
      </w:pPr>
      <w:rPr>
        <w:rFonts w:hint="default"/>
      </w:rPr>
    </w:lvl>
    <w:lvl w:ilvl="7" w:tplc="2B3E5434">
      <w:numFmt w:val="bullet"/>
      <w:lvlText w:val="•"/>
      <w:lvlJc w:val="left"/>
      <w:pPr>
        <w:ind w:left="7340" w:hanging="721"/>
      </w:pPr>
      <w:rPr>
        <w:rFonts w:hint="default"/>
      </w:rPr>
    </w:lvl>
    <w:lvl w:ilvl="8" w:tplc="BC3020AE">
      <w:numFmt w:val="bullet"/>
      <w:lvlText w:val="•"/>
      <w:lvlJc w:val="left"/>
      <w:pPr>
        <w:ind w:left="8073" w:hanging="7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58"/>
    <w:rsid w:val="00664658"/>
    <w:rsid w:val="008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569B8-18C3-4059-954C-8F11E879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646" w:right="16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4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6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Template</vt:lpstr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Template</dc:title>
  <dc:creator>CDLE Workstation</dc:creator>
  <cp:lastModifiedBy>Jackleen Jackson</cp:lastModifiedBy>
  <cp:revision>2</cp:revision>
  <dcterms:created xsi:type="dcterms:W3CDTF">2018-07-20T21:07:00Z</dcterms:created>
  <dcterms:modified xsi:type="dcterms:W3CDTF">2018-07-20T21:07:00Z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2017-12-29T00:00:00Z</vt:filetime>
  </property>
</Properties>
</file>